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widowControl w:val="0"/>
        <w:spacing w:before="100" w:after="100"/>
        <w:jc w:val="center"/>
        <w:rPr>
          <w:rFonts w:ascii="Arial" w:hAnsi="Arial" w:cs="Arial"/>
          <w:b/>
          <w:bCs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</w:rPr>
        <w:t xml:space="preserve">Сдружение </w:t>
      </w:r>
    </w:p>
    <w:p>
      <w:pPr>
        <w:widowControl w:val="0"/>
        <w:spacing w:before="100" w:after="100"/>
        <w:jc w:val="center"/>
        <w:rPr>
          <w:rFonts w:ascii="Arial" w:hAnsi="Arial" w:cs="Arial"/>
          <w:b/>
          <w:bCs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</w:rPr>
        <w:t>„Българска Асоциация на Малинопроизводителите”</w:t>
      </w:r>
    </w:p>
    <w:p>
      <w:pPr>
        <w:tabs>
          <w:tab w:val="left" w:pos="2772"/>
        </w:tabs>
      </w:pPr>
    </w:p>
    <w:p>
      <w:pPr>
        <w:pStyle w:val="13"/>
        <w:shd w:val="clear" w:color="auto" w:fill="FFFFFF"/>
        <w:spacing w:before="0" w:beforeAutospacing="0" w:after="0" w:afterAutospacing="0"/>
        <w:rPr>
          <w:rFonts w:hint="default"/>
          <w:lang w:val="en-US"/>
        </w:rPr>
      </w:pPr>
      <w:r>
        <w:t xml:space="preserve">До  Г-н </w:t>
      </w:r>
      <w:r>
        <w:rPr>
          <w:lang w:val="en-US"/>
        </w:rPr>
        <w:t>Росен</w:t>
      </w:r>
      <w:r>
        <w:rPr>
          <w:rFonts w:hint="default"/>
          <w:lang w:val="en-US"/>
        </w:rPr>
        <w:t xml:space="preserve"> </w:t>
      </w:r>
      <w:r>
        <w:t>Костурков</w:t>
      </w:r>
      <w:r>
        <w:rPr>
          <w:rFonts w:hint="default"/>
          <w:lang w:val="en-US"/>
        </w:rPr>
        <w:t>, п</w:t>
      </w:r>
      <w:r>
        <w:t xml:space="preserve">редседател на </w:t>
      </w:r>
      <w:r>
        <w:rPr>
          <w:lang w:val="en-US"/>
        </w:rPr>
        <w:t>К</w:t>
      </w:r>
      <w:r>
        <w:t>омисията по земеделия</w:t>
      </w:r>
      <w:r>
        <w:rPr>
          <w:rFonts w:hint="default"/>
          <w:lang w:val="en-US"/>
        </w:rPr>
        <w:t xml:space="preserve"> в Народното събрание </w:t>
      </w:r>
    </w:p>
    <w:p>
      <w:pPr>
        <w:pStyle w:val="13"/>
        <w:shd w:val="clear" w:color="auto" w:fill="FFFFFF"/>
        <w:spacing w:before="0" w:beforeAutospacing="0" w:after="0" w:afterAutospacing="0"/>
      </w:pPr>
    </w:p>
    <w:p>
      <w:pPr>
        <w:pStyle w:val="13"/>
        <w:shd w:val="clear" w:color="auto" w:fill="FFFFFF"/>
        <w:spacing w:before="0" w:beforeAutospacing="0" w:after="0" w:afterAutospacing="0"/>
        <w:rPr>
          <w:rFonts w:hint="default"/>
          <w:lang w:val="en-US"/>
        </w:rPr>
      </w:pPr>
      <w:r>
        <w:t xml:space="preserve">До </w:t>
      </w:r>
      <w:r>
        <w:rPr>
          <w:lang w:val="en-US"/>
        </w:rPr>
        <w:t>членовете</w:t>
      </w:r>
      <w:r>
        <w:rPr>
          <w:rFonts w:hint="default"/>
          <w:lang w:val="en-US"/>
        </w:rPr>
        <w:t xml:space="preserve"> на </w:t>
      </w:r>
      <w:r>
        <w:t>Комисията по земеделие</w:t>
      </w:r>
      <w:r>
        <w:rPr>
          <w:rFonts w:hint="default"/>
          <w:lang w:val="en-US"/>
        </w:rPr>
        <w:t xml:space="preserve"> в Народното събрание </w:t>
      </w:r>
    </w:p>
    <w:p>
      <w:pPr>
        <w:pStyle w:val="13"/>
        <w:shd w:val="clear" w:color="auto" w:fill="FFFFFF"/>
        <w:spacing w:before="0" w:beforeAutospacing="0" w:after="0" w:afterAutospacing="0"/>
      </w:pPr>
      <w:r>
        <w:t>До Министър</w:t>
      </w:r>
      <w:r>
        <w:rPr>
          <w:lang w:val="en-US"/>
        </w:rPr>
        <w:t>а</w:t>
      </w:r>
      <w:r>
        <w:rPr>
          <w:rFonts w:hint="default"/>
          <w:lang w:val="en-US"/>
        </w:rPr>
        <w:t xml:space="preserve"> на земеделието Явор </w:t>
      </w:r>
      <w:r>
        <w:t xml:space="preserve">Гечев </w:t>
      </w:r>
    </w:p>
    <w:p>
      <w:pPr>
        <w:pStyle w:val="13"/>
        <w:shd w:val="clear" w:color="auto" w:fill="FFFFFF"/>
        <w:spacing w:before="0" w:beforeAutospacing="0" w:after="0" w:afterAutospacing="0"/>
      </w:pPr>
      <w:r>
        <w:t>До Комитета по Наблюдение</w:t>
      </w:r>
    </w:p>
    <w:p>
      <w:pPr>
        <w:pStyle w:val="13"/>
        <w:shd w:val="clear" w:color="auto" w:fill="FFFFFF"/>
        <w:spacing w:before="0" w:beforeAutospacing="0" w:after="0" w:afterAutospacing="0"/>
        <w:rPr>
          <w:rFonts w:hint="default"/>
          <w:lang w:val="en-US"/>
        </w:rPr>
      </w:pPr>
      <w:r>
        <w:t>До  зам.</w:t>
      </w:r>
      <w:r>
        <w:rPr>
          <w:rFonts w:hint="default"/>
          <w:lang w:val="en-US"/>
        </w:rPr>
        <w:t>-</w:t>
      </w:r>
      <w:r>
        <w:t>мин</w:t>
      </w:r>
      <w:r>
        <w:rPr>
          <w:lang w:val="en-US"/>
        </w:rPr>
        <w:t>инистъра</w:t>
      </w:r>
      <w:r>
        <w:rPr>
          <w:rFonts w:hint="default"/>
          <w:lang w:val="en-US"/>
        </w:rPr>
        <w:t xml:space="preserve"> на земеделието Георги</w:t>
      </w:r>
      <w:r>
        <w:t xml:space="preserve"> Събев </w:t>
      </w:r>
      <w:r>
        <w:rPr>
          <w:lang w:val="en-US"/>
        </w:rPr>
        <w:t>и</w:t>
      </w:r>
      <w:r>
        <w:rPr>
          <w:rFonts w:hint="default"/>
          <w:lang w:val="en-US"/>
        </w:rPr>
        <w:t xml:space="preserve"> п</w:t>
      </w:r>
      <w:r>
        <w:t xml:space="preserve">редседател на </w:t>
      </w:r>
      <w:r>
        <w:rPr>
          <w:lang w:val="en-US"/>
        </w:rPr>
        <w:t>К</w:t>
      </w:r>
      <w:r>
        <w:t>омитета по наблюдени</w:t>
      </w:r>
      <w:r>
        <w:rPr>
          <w:lang w:val="en-US"/>
        </w:rPr>
        <w:t>е</w:t>
      </w:r>
      <w:bookmarkStart w:id="0" w:name="_GoBack"/>
      <w:bookmarkEnd w:id="0"/>
    </w:p>
    <w:p>
      <w:pPr>
        <w:tabs>
          <w:tab w:val="left" w:pos="2772"/>
        </w:tabs>
        <w:rPr>
          <w:rFonts w:ascii="Times" w:hAnsi="Times" w:cs="Times"/>
        </w:rPr>
      </w:pPr>
    </w:p>
    <w:p>
      <w:pPr>
        <w:pStyle w:val="21"/>
        <w:tabs>
          <w:tab w:val="left" w:pos="2772"/>
        </w:tabs>
        <w:ind w:left="1440"/>
        <w:jc w:val="center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4"/>
          <w:szCs w:val="44"/>
        </w:rPr>
        <w:t>Становище</w:t>
      </w:r>
    </w:p>
    <w:p>
      <w:pPr>
        <w:pStyle w:val="21"/>
        <w:tabs>
          <w:tab w:val="left" w:pos="2772"/>
        </w:tabs>
        <w:ind w:left="1440"/>
        <w:jc w:val="center"/>
        <w:rPr>
          <w:rFonts w:ascii="Times" w:hAnsi="Times" w:cs="Times"/>
          <w:sz w:val="44"/>
          <w:szCs w:val="44"/>
        </w:rPr>
      </w:pPr>
    </w:p>
    <w:p>
      <w:pPr>
        <w:tabs>
          <w:tab w:val="left" w:pos="2772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От Българска Асоциация на Малинопроизводителите и ягодоплодните – БАМ-я </w:t>
      </w:r>
    </w:p>
    <w:p>
      <w:pPr>
        <w:tabs>
          <w:tab w:val="left" w:pos="2772"/>
        </w:tabs>
        <w:rPr>
          <w:rFonts w:ascii="Times" w:hAnsi="Times" w:cs="Times"/>
          <w:b/>
          <w:bCs/>
        </w:rPr>
      </w:pPr>
    </w:p>
    <w:p>
      <w:r>
        <w:t>Относно: Определение на  Арро Фотоволтаик или Агро Соларни системи</w:t>
      </w:r>
    </w:p>
    <w:p/>
    <w:p>
      <w:pPr>
        <w:rPr>
          <w:rFonts w:hint="default"/>
          <w:lang w:val="en-US"/>
        </w:rPr>
      </w:pPr>
      <w:r>
        <w:t xml:space="preserve">Във връзка с възможностите на Плана за </w:t>
      </w:r>
      <w:r>
        <w:rPr>
          <w:lang w:val="en-US"/>
        </w:rPr>
        <w:t>в</w:t>
      </w:r>
      <w:r>
        <w:t xml:space="preserve">ъзстановяване и </w:t>
      </w:r>
      <w:r>
        <w:rPr>
          <w:lang w:val="en-US"/>
        </w:rPr>
        <w:t>у</w:t>
      </w:r>
      <w:r>
        <w:t>стойчивост</w:t>
      </w:r>
      <w:r>
        <w:rPr>
          <w:rFonts w:hint="default"/>
          <w:lang w:val="en-US"/>
        </w:rPr>
        <w:t xml:space="preserve"> и п</w:t>
      </w:r>
      <w:r>
        <w:t>редстоящото заседание на Комитета по наблюдение</w:t>
      </w:r>
      <w:r>
        <w:rPr>
          <w:rFonts w:hint="default"/>
          <w:lang w:val="en-US"/>
        </w:rPr>
        <w:t>,</w:t>
      </w:r>
      <w:r>
        <w:t xml:space="preserve"> свързан с допълнения и изменения на Стратегическия план по</w:t>
      </w:r>
      <w:r>
        <w:rPr>
          <w:rFonts w:hint="default"/>
          <w:lang w:val="en-US"/>
        </w:rPr>
        <w:t xml:space="preserve"> </w:t>
      </w:r>
      <w:r>
        <w:t>земеделие на Р</w:t>
      </w:r>
      <w:r>
        <w:rPr>
          <w:lang w:val="en-US"/>
        </w:rPr>
        <w:t>епублика</w:t>
      </w:r>
      <w:r>
        <w:t xml:space="preserve"> България и други инвестиционни програми да се изграждат системи за устойчиво и конкурентноспособно земеделие и за повишаване на енергийната независимост на земеделските стопанства</w:t>
      </w:r>
      <w:r>
        <w:rPr>
          <w:rFonts w:hint="default"/>
          <w:lang w:val="en-US"/>
        </w:rPr>
        <w:t>,</w:t>
      </w:r>
      <w:r>
        <w:t xml:space="preserve"> настояваме да се приемат предложените инвестиции за допустими разходи в инвестиционните програми 4.1, 4.2 и ПВУ</w:t>
      </w:r>
      <w:r>
        <w:rPr>
          <w:rFonts w:hint="default"/>
          <w:lang w:val="en-US"/>
        </w:rPr>
        <w:t>.</w:t>
      </w:r>
    </w:p>
    <w:p>
      <w:pPr>
        <w:rPr>
          <w:rFonts w:hint="default"/>
          <w:lang w:val="en-US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 Българска</w:t>
      </w:r>
      <w:r>
        <w:rPr>
          <w:rFonts w:ascii="Tahoma" w:hAnsi="Tahoma" w:cs="Tahoma"/>
          <w:color w:val="000000"/>
          <w:sz w:val="21"/>
          <w:szCs w:val="21"/>
          <w:lang w:val="en-US"/>
        </w:rPr>
        <w:t>та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 xml:space="preserve">социация на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м</w:t>
      </w:r>
      <w:r>
        <w:rPr>
          <w:rFonts w:ascii="Tahoma" w:hAnsi="Tahoma" w:cs="Tahoma"/>
          <w:color w:val="000000"/>
          <w:sz w:val="21"/>
          <w:szCs w:val="21"/>
        </w:rPr>
        <w:t xml:space="preserve">алинопроизводителите и ягодоплодните имаме предложение за  определение на що е това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>гро</w:t>
      </w:r>
      <w:r>
        <w:rPr>
          <w:rFonts w:ascii="Tahoma" w:hAnsi="Tahoma" w:cs="Tahoma"/>
          <w:color w:val="000000"/>
          <w:sz w:val="21"/>
          <w:szCs w:val="21"/>
          <w:lang w:val="en-US"/>
        </w:rPr>
        <w:t>ф</w:t>
      </w:r>
      <w:r>
        <w:rPr>
          <w:rFonts w:ascii="Tahoma" w:hAnsi="Tahoma" w:cs="Tahoma"/>
          <w:color w:val="000000"/>
          <w:sz w:val="21"/>
          <w:szCs w:val="21"/>
        </w:rPr>
        <w:t xml:space="preserve">отволтаик или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>гро</w:t>
      </w:r>
      <w:r>
        <w:rPr>
          <w:rFonts w:ascii="Tahoma" w:hAnsi="Tahoma" w:cs="Tahoma"/>
          <w:color w:val="000000"/>
          <w:sz w:val="21"/>
          <w:szCs w:val="21"/>
          <w:lang w:val="en-US"/>
        </w:rPr>
        <w:t>с</w:t>
      </w:r>
      <w:r>
        <w:rPr>
          <w:rFonts w:ascii="Tahoma" w:hAnsi="Tahoma" w:cs="Tahoma"/>
          <w:color w:val="000000"/>
          <w:sz w:val="21"/>
          <w:szCs w:val="21"/>
        </w:rPr>
        <w:t>оларн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 xml:space="preserve"> инсталация.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Тези знания получихме по време на участие в изложение на БАМ-я в Германия и дори имаме готова презентация от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германски</w:t>
      </w:r>
      <w:r>
        <w:rPr>
          <w:rFonts w:ascii="Tahoma" w:hAnsi="Tahoma" w:cs="Tahoma"/>
          <w:color w:val="000000"/>
          <w:sz w:val="21"/>
          <w:szCs w:val="21"/>
        </w:rPr>
        <w:t xml:space="preserve"> специалисти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които дават разяснения що  е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>гро</w:t>
      </w:r>
      <w:r>
        <w:rPr>
          <w:rFonts w:ascii="Tahoma" w:hAnsi="Tahoma" w:cs="Tahoma"/>
          <w:color w:val="000000"/>
          <w:sz w:val="21"/>
          <w:szCs w:val="21"/>
          <w:lang w:val="en-US"/>
        </w:rPr>
        <w:t>с</w:t>
      </w:r>
      <w:r>
        <w:rPr>
          <w:rFonts w:ascii="Tahoma" w:hAnsi="Tahoma" w:cs="Tahoma"/>
          <w:color w:val="000000"/>
          <w:sz w:val="21"/>
          <w:szCs w:val="21"/>
        </w:rPr>
        <w:t>олари и техните разновидности и приложения.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б</w:t>
      </w:r>
      <w:r>
        <w:rPr>
          <w:rFonts w:ascii="Tahoma" w:hAnsi="Tahoma" w:cs="Tahoma"/>
          <w:color w:val="000000"/>
          <w:sz w:val="21"/>
          <w:szCs w:val="21"/>
        </w:rPr>
        <w:t>ългарското законодателство съществува разрешителен режим за строителство в земеделски парцели без разрешително за строеж в размер на 20% от площи</w:t>
      </w:r>
      <w:r>
        <w:rPr>
          <w:rFonts w:ascii="Tahoma" w:hAnsi="Tahoma" w:cs="Tahoma"/>
          <w:color w:val="000000"/>
          <w:sz w:val="21"/>
          <w:szCs w:val="21"/>
          <w:lang w:val="en-US"/>
        </w:rPr>
        <w:t>те</w:t>
      </w:r>
      <w:r>
        <w:rPr>
          <w:rFonts w:ascii="Tahoma" w:hAnsi="Tahoma" w:cs="Tahoma"/>
          <w:color w:val="000000"/>
          <w:sz w:val="21"/>
          <w:szCs w:val="21"/>
        </w:rPr>
        <w:t xml:space="preserve"> на конкретен парцел.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 базата на тези законови разпоредби и мнение на архитекти и колеги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>гроинженери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определението за 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>гро</w:t>
      </w:r>
      <w:r>
        <w:rPr>
          <w:rFonts w:ascii="Tahoma" w:hAnsi="Tahoma" w:cs="Tahoma"/>
          <w:color w:val="000000"/>
          <w:sz w:val="21"/>
          <w:szCs w:val="21"/>
          <w:lang w:val="en-US"/>
        </w:rPr>
        <w:t>ф</w:t>
      </w:r>
      <w:r>
        <w:rPr>
          <w:rFonts w:ascii="Tahoma" w:hAnsi="Tahoma" w:cs="Tahoma"/>
          <w:color w:val="000000"/>
          <w:sz w:val="21"/>
          <w:szCs w:val="21"/>
        </w:rPr>
        <w:t>отоволтаик може да звучи така:</w:t>
      </w:r>
    </w:p>
    <w:p>
      <w:pPr>
        <w:shd w:val="clear" w:color="auto" w:fill="FFFFFF"/>
        <w:rPr>
          <w:rFonts w:ascii="Tahoma" w:hAnsi="Tahoma" w:cs="Tahoma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Агро</w:t>
      </w: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ф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отоволтаик е съоръжение за добиване на ел. енергия от слънцето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разположено върху земеделски земи без промяна  на НТП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(начина на трайно ползване)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 xml:space="preserve">,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като не се затруднява основната земеделска дейност и сеитбооборота към НТП на парцела.  </w:t>
      </w:r>
    </w:p>
    <w:p>
      <w:pPr>
        <w:shd w:val="clear" w:color="auto" w:fill="FFFFFF"/>
        <w:rPr>
          <w:rFonts w:ascii="Tahoma" w:hAnsi="Tahoma" w:cs="Tahoma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Сумата на общата площ на опорните точки за закрепване на съоръжението заедно със съоръженията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необходими за функциониране на </w:t>
      </w: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агроф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отоволтаика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не трябва да превишава 20% от общата площ на парцела</w:t>
      </w:r>
      <w:r>
        <w:rPr>
          <w:rFonts w:hint="default" w:ascii="Tahoma" w:hAnsi="Tahoma" w:cs="Tahoma"/>
          <w:b/>
          <w:bCs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ко</w:t>
      </w: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я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то е разрешен</w:t>
      </w:r>
      <w:r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за застрояване.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Следват нюансите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свързани с различните култури в растениевъдството </w:t>
      </w:r>
    </w:p>
    <w:p>
      <w:pPr>
        <w:shd w:val="clear" w:color="auto" w:fill="FFFFFF"/>
        <w:rPr>
          <w:rFonts w:hint="default"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за парцели с НТП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hint="default"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"Нива"</w:t>
      </w:r>
      <w:r>
        <w:rPr>
          <w:rFonts w:ascii="Tahoma" w:hAnsi="Tahoma" w:cs="Tahoma"/>
          <w:color w:val="000000"/>
          <w:sz w:val="21"/>
          <w:szCs w:val="21"/>
        </w:rPr>
        <w:t xml:space="preserve"> да се допуска изграждане на вертикални панели (във вид на стена) с височина до 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20</w:t>
      </w:r>
      <w:r>
        <w:rPr>
          <w:rFonts w:ascii="Tahoma" w:hAnsi="Tahoma" w:cs="Tahoma"/>
          <w:color w:val="000000"/>
          <w:sz w:val="21"/>
          <w:szCs w:val="21"/>
        </w:rPr>
        <w:t xml:space="preserve"> метра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с разстояние между тях 2 пъти сянката по време на вегетация или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агр</w:t>
      </w:r>
      <w:r>
        <w:rPr>
          <w:rFonts w:ascii="Tahoma" w:hAnsi="Tahoma" w:cs="Tahoma"/>
          <w:color w:val="000000"/>
          <w:sz w:val="21"/>
          <w:szCs w:val="21"/>
        </w:rPr>
        <w:t>о</w:t>
      </w:r>
      <w:r>
        <w:rPr>
          <w:rFonts w:ascii="Tahoma" w:hAnsi="Tahoma" w:cs="Tahoma"/>
          <w:color w:val="000000"/>
          <w:sz w:val="21"/>
          <w:szCs w:val="21"/>
          <w:lang w:val="en-US"/>
        </w:rPr>
        <w:t>фо</w:t>
      </w:r>
      <w:r>
        <w:rPr>
          <w:rFonts w:ascii="Tahoma" w:hAnsi="Tahoma" w:cs="Tahoma"/>
          <w:color w:val="000000"/>
          <w:sz w:val="21"/>
          <w:szCs w:val="21"/>
        </w:rPr>
        <w:t>товолтаици тип висок навес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просвет</w:t>
      </w:r>
      <w:r>
        <w:rPr>
          <w:rFonts w:ascii="Tahoma" w:hAnsi="Tahoma" w:cs="Tahoma"/>
          <w:color w:val="000000"/>
          <w:sz w:val="21"/>
          <w:szCs w:val="21"/>
          <w:lang w:val="en-US"/>
        </w:rPr>
        <w:t>ът</w:t>
      </w:r>
      <w:r>
        <w:rPr>
          <w:rFonts w:ascii="Tahoma" w:hAnsi="Tahoma" w:cs="Tahoma"/>
          <w:color w:val="000000"/>
          <w:sz w:val="21"/>
          <w:szCs w:val="21"/>
        </w:rPr>
        <w:t xml:space="preserve"> на който е с 1 метър по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-</w:t>
      </w:r>
      <w:r>
        <w:rPr>
          <w:rFonts w:ascii="Tahoma" w:hAnsi="Tahoma" w:cs="Tahoma"/>
          <w:color w:val="000000"/>
          <w:sz w:val="21"/>
          <w:szCs w:val="21"/>
        </w:rPr>
        <w:t>висок от стандартната височина на земеделска техника за дадената култура. При отглеждане на зърнено житни култури и други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Същото да е и за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л</w:t>
      </w:r>
      <w:r>
        <w:rPr>
          <w:rFonts w:ascii="Tahoma" w:hAnsi="Tahoma" w:cs="Tahoma"/>
          <w:color w:val="000000"/>
          <w:sz w:val="21"/>
          <w:szCs w:val="21"/>
        </w:rPr>
        <w:t xml:space="preserve">ивади и пасища. 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Според нас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за ливадите и пасищата агрофотоволтаиците ще донесат изключителна полза върху тревостоя – тревата няма да изсъхва преждевременно през горещите летни месеци, а ще бъде запазвана в голяма степен заради сянката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която ще се осигурява от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а</w:t>
      </w:r>
      <w:r>
        <w:rPr>
          <w:rFonts w:ascii="Tahoma" w:hAnsi="Tahoma" w:cs="Tahoma"/>
          <w:color w:val="000000"/>
          <w:sz w:val="21"/>
          <w:szCs w:val="21"/>
        </w:rPr>
        <w:t xml:space="preserve">грофотоволтаиците. 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Агрофотоволтаиците от вертикален тип ще осигуряват сянка и добри условия за пашуване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като в горещите часове на деня животните няма да се „набиват“ едно в друго или да търсят сянка в гориста местност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която не винаги е налична. 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тази причина ползата от агрофотоволтаиците ще е доста голяма за здравния статус на животните и ще подобрят значително хранителния им режим и по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-</w:t>
      </w:r>
      <w:r>
        <w:rPr>
          <w:rFonts w:ascii="Tahoma" w:hAnsi="Tahoma" w:cs="Tahoma"/>
          <w:color w:val="000000"/>
          <w:sz w:val="21"/>
          <w:szCs w:val="21"/>
        </w:rPr>
        <w:t>ползотворно усвояване на тревата през по-голяма</w:t>
      </w:r>
      <w:r>
        <w:rPr>
          <w:rFonts w:ascii="Tahoma" w:hAnsi="Tahoma" w:cs="Tahoma"/>
          <w:color w:val="000000"/>
          <w:sz w:val="21"/>
          <w:szCs w:val="21"/>
          <w:lang w:val="en-US"/>
        </w:rPr>
        <w:t>та</w:t>
      </w:r>
      <w:r>
        <w:rPr>
          <w:rFonts w:ascii="Tahoma" w:hAnsi="Tahoma" w:cs="Tahoma"/>
          <w:color w:val="000000"/>
          <w:sz w:val="21"/>
          <w:szCs w:val="21"/>
        </w:rPr>
        <w:t xml:space="preserve"> част на деня.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 парцели с НТП трайни насаждения с конструкция  като лозя, малини, ягодоплодни и др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соларите да са над насаждението без да пречат на работата на наличната техника и да са с плътност на засенчване не повече от 50% от общата площ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освен в случаите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когато фотоволтаиците не са от полупрозрачни панели.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 Последно ограда около парцелите от фотоволтаични панели с височина не повече от 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 xml:space="preserve">20 </w:t>
      </w:r>
      <w:r>
        <w:rPr>
          <w:rFonts w:ascii="Tahoma" w:hAnsi="Tahoma" w:cs="Tahoma"/>
          <w:color w:val="000000"/>
          <w:sz w:val="21"/>
          <w:szCs w:val="21"/>
        </w:rPr>
        <w:t xml:space="preserve">метра и разстояние между панелите 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20</w:t>
      </w:r>
      <w:r>
        <w:rPr>
          <w:rFonts w:ascii="Tahoma" w:hAnsi="Tahoma" w:cs="Tahoma"/>
          <w:color w:val="000000"/>
          <w:sz w:val="21"/>
          <w:szCs w:val="21"/>
        </w:rPr>
        <w:t xml:space="preserve"> сантиметра за видимост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каквото е изискването за "ажурна" ограда.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Имаше предложение подобни стени и покриви от фотоволтаици да се направят по дължината на каналите на 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Напоителни системи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 xml:space="preserve"> и върху тях с цел генериране на ел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енергия за помпите и разни други възможности за оползотворяване на площите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без да се променя НТП и искане за строеж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което да прави процедурата тромава, скъпа и бюрократична.</w:t>
      </w: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Имаме готовност да представи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германската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 xml:space="preserve"> п</w:t>
      </w:r>
      <w:r>
        <w:rPr>
          <w:rFonts w:ascii="Tahoma" w:hAnsi="Tahoma" w:cs="Tahoma"/>
          <w:color w:val="000000"/>
          <w:sz w:val="21"/>
          <w:szCs w:val="21"/>
        </w:rPr>
        <w:t>резентация пред работна група и други заинтересовани лица.</w:t>
      </w:r>
    </w:p>
    <w:p>
      <w:pPr>
        <w:shd w:val="clear" w:color="auto" w:fill="FFFFFF"/>
        <w:ind w:firstLine="709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lang w:val="en-US"/>
        </w:rPr>
        <w:t>П</w:t>
      </w:r>
      <w:r>
        <w:rPr>
          <w:rFonts w:ascii="Tahoma" w:hAnsi="Tahoma" w:cs="Tahoma"/>
          <w:color w:val="000000"/>
          <w:sz w:val="21"/>
          <w:szCs w:val="21"/>
        </w:rPr>
        <w:t xml:space="preserve">редлагаме в новия </w:t>
      </w:r>
      <w:r>
        <w:rPr>
          <w:rFonts w:ascii="Tahoma" w:hAnsi="Tahoma" w:cs="Tahoma"/>
          <w:color w:val="000000"/>
          <w:sz w:val="21"/>
          <w:szCs w:val="21"/>
          <w:lang w:val="en-US"/>
        </w:rPr>
        <w:t>С</w:t>
      </w:r>
      <w:r>
        <w:rPr>
          <w:rFonts w:ascii="Tahoma" w:hAnsi="Tahoma" w:cs="Tahoma"/>
          <w:color w:val="000000"/>
          <w:sz w:val="21"/>
          <w:szCs w:val="21"/>
        </w:rPr>
        <w:t>тратегически план да бъдат включени предложения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относно иновативните инвестиции за агрофотоволтаици и други разходи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съпътстващи използването, преноса и съхраняването на ел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енергия от тези съоръжения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както за лични н</w:t>
      </w:r>
      <w:r>
        <w:rPr>
          <w:rFonts w:ascii="Tahoma" w:hAnsi="Tahoma" w:cs="Tahoma"/>
          <w:color w:val="000000"/>
          <w:sz w:val="21"/>
          <w:szCs w:val="21"/>
          <w:lang w:val="en-US"/>
        </w:rPr>
        <w:t>у</w:t>
      </w:r>
      <w:r>
        <w:rPr>
          <w:rFonts w:ascii="Tahoma" w:hAnsi="Tahoma" w:cs="Tahoma"/>
          <w:color w:val="000000"/>
          <w:sz w:val="21"/>
          <w:szCs w:val="21"/>
        </w:rPr>
        <w:t>жди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така и за продажба на </w:t>
      </w:r>
      <w:r>
        <w:rPr>
          <w:rFonts w:ascii="Tahoma" w:hAnsi="Tahoma" w:cs="Tahoma"/>
          <w:color w:val="000000"/>
          <w:sz w:val="21"/>
          <w:szCs w:val="21"/>
          <w:lang w:val="en-US"/>
        </w:rPr>
        <w:t>е</w:t>
      </w:r>
      <w:r>
        <w:rPr>
          <w:rFonts w:ascii="Tahoma" w:hAnsi="Tahoma" w:cs="Tahoma"/>
          <w:color w:val="000000"/>
          <w:sz w:val="21"/>
          <w:szCs w:val="21"/>
        </w:rPr>
        <w:t>нергийните дружества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така и на собственици на електромобили и други потребители на ел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.</w:t>
      </w:r>
      <w:r>
        <w:rPr>
          <w:rFonts w:ascii="Tahoma" w:hAnsi="Tahoma" w:cs="Tahoma"/>
          <w:color w:val="000000"/>
          <w:sz w:val="21"/>
          <w:szCs w:val="21"/>
        </w:rPr>
        <w:t xml:space="preserve"> енергия.</w:t>
      </w:r>
    </w:p>
    <w:p>
      <w:pPr>
        <w:shd w:val="clear" w:color="auto" w:fill="FFFFFF"/>
        <w:ind w:firstLine="709"/>
        <w:rPr>
          <w:rFonts w:ascii="Tahoma" w:hAnsi="Tahoma" w:cs="Tahoma"/>
          <w:color w:val="000000"/>
          <w:sz w:val="21"/>
          <w:szCs w:val="21"/>
        </w:rPr>
      </w:pPr>
    </w:p>
    <w:p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Предлагаме следните инвестиции да бъдат признат разход и да бъдат включени в ПВУ и новите програми за инвестиции в земеделските стопанства</w:t>
      </w:r>
      <w:r>
        <w:rPr>
          <w:rFonts w:hint="default" w:ascii="Tahoma" w:hAnsi="Tahoma" w:cs="Tahoma"/>
          <w:color w:val="000000"/>
          <w:sz w:val="21"/>
          <w:szCs w:val="21"/>
          <w:lang w:val="en-US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а именно:</w:t>
      </w:r>
    </w:p>
    <w:p/>
    <w:p>
      <w:pPr>
        <w:pStyle w:val="21"/>
        <w:numPr>
          <w:ilvl w:val="0"/>
          <w:numId w:val="1"/>
        </w:numPr>
      </w:pPr>
      <w:r>
        <w:t xml:space="preserve">Възможности за изграждане на </w:t>
      </w:r>
      <w:r>
        <w:rPr>
          <w:lang w:val="en-US"/>
        </w:rPr>
        <w:t>а</w:t>
      </w:r>
      <w:r>
        <w:t>гро</w:t>
      </w:r>
      <w:r>
        <w:rPr>
          <w:lang w:val="en-US"/>
        </w:rPr>
        <w:t>ф</w:t>
      </w:r>
      <w:r>
        <w:t>отоволтаици върху земеделски земи без промяна на начин</w:t>
      </w:r>
      <w:r>
        <w:rPr>
          <w:lang w:val="en-US"/>
        </w:rPr>
        <w:t>а</w:t>
      </w:r>
      <w:r>
        <w:t xml:space="preserve"> на трайно ползване и без разрешително за строеж</w:t>
      </w:r>
      <w:r>
        <w:rPr>
          <w:rFonts w:hint="default"/>
          <w:lang w:val="en-US"/>
        </w:rPr>
        <w:t>;</w:t>
      </w:r>
    </w:p>
    <w:p>
      <w:pPr>
        <w:pStyle w:val="21"/>
        <w:numPr>
          <w:numId w:val="0"/>
        </w:numPr>
        <w:ind w:left="360" w:leftChars="0"/>
      </w:pPr>
    </w:p>
    <w:p>
      <w:pPr>
        <w:pStyle w:val="21"/>
        <w:numPr>
          <w:ilvl w:val="0"/>
          <w:numId w:val="1"/>
        </w:numPr>
        <w:rPr>
          <w:b/>
          <w:bCs/>
        </w:rPr>
      </w:pPr>
      <w:r>
        <w:t xml:space="preserve">Възможност за изграждане на електропреносна мрежа до краен консуматор на собственика на агрофотоволтаика –  </w:t>
      </w:r>
      <w:r>
        <w:rPr>
          <w:b/>
          <w:bCs/>
        </w:rPr>
        <w:t>да е аналогично с програма</w:t>
      </w:r>
      <w:r>
        <w:rPr>
          <w:rFonts w:hint="default"/>
          <w:b/>
          <w:bCs/>
          <w:lang w:val="en-US"/>
        </w:rPr>
        <w:t>,</w:t>
      </w:r>
      <w:r>
        <w:rPr>
          <w:b/>
          <w:bCs/>
        </w:rPr>
        <w:t xml:space="preserve"> подобна на прекарване на централен водопровод от водоизточник до стопанството</w:t>
      </w:r>
      <w:r>
        <w:rPr>
          <w:rFonts w:hint="default"/>
          <w:b/>
          <w:bCs/>
          <w:lang w:val="en-US"/>
        </w:rPr>
        <w:t>,</w:t>
      </w:r>
      <w:r>
        <w:rPr>
          <w:b/>
          <w:bCs/>
        </w:rPr>
        <w:t xml:space="preserve"> където субсидията е 100%. </w:t>
      </w:r>
    </w:p>
    <w:p/>
    <w:p/>
    <w:p>
      <w:r>
        <w:t>Пример:</w:t>
      </w:r>
    </w:p>
    <w:p/>
    <w:p>
      <w:r>
        <w:t>Предприятие за преработка и замразяване на малини няма достатъчно площи за фотоволтаици в двора и на покрива на предприятието</w:t>
      </w:r>
      <w:r>
        <w:rPr>
          <w:rFonts w:hint="default"/>
          <w:lang w:val="en-US"/>
        </w:rPr>
        <w:t>,</w:t>
      </w:r>
      <w:r>
        <w:t xml:space="preserve"> но само на 1,5 км от предприятието си има насаждение и земеделски </w:t>
      </w:r>
      <w:r>
        <w:rPr>
          <w:lang w:val="en-US"/>
        </w:rPr>
        <w:t>з</w:t>
      </w:r>
      <w:r>
        <w:t>еми</w:t>
      </w:r>
      <w:r>
        <w:rPr>
          <w:rFonts w:hint="default"/>
          <w:lang w:val="en-US"/>
        </w:rPr>
        <w:t>,</w:t>
      </w:r>
      <w:r>
        <w:t xml:space="preserve"> на които може да разположи агрофотовлтаици</w:t>
      </w:r>
      <w:r>
        <w:rPr>
          <w:rFonts w:hint="default"/>
          <w:lang w:val="en-US"/>
        </w:rPr>
        <w:t>,</w:t>
      </w:r>
      <w:r>
        <w:t xml:space="preserve"> но няма централна електропреносна мреж</w:t>
      </w:r>
      <w:r>
        <w:rPr>
          <w:lang w:val="en-US"/>
        </w:rPr>
        <w:t>а</w:t>
      </w:r>
      <w:r>
        <w:rPr>
          <w:rFonts w:hint="default"/>
          <w:lang w:val="en-US"/>
        </w:rPr>
        <w:t>. З</w:t>
      </w:r>
      <w:r>
        <w:t>а да захрани предприятието собственик</w:t>
      </w:r>
      <w:r>
        <w:rPr>
          <w:lang w:val="en-US"/>
        </w:rPr>
        <w:t>ът</w:t>
      </w:r>
      <w:r>
        <w:t xml:space="preserve"> да може да си прекара локален електропровод (подземен или въздушен).</w:t>
      </w:r>
    </w:p>
    <w:p/>
    <w:p>
      <w:pPr>
        <w:pStyle w:val="21"/>
        <w:numPr>
          <w:ilvl w:val="0"/>
          <w:numId w:val="2"/>
        </w:numPr>
      </w:pPr>
      <w:r>
        <w:t>Да бъде допустима разход закупуване на зарядна станция за електромобили за да може да се ползва ел енергия от Фермера за електромобил, електро трактор, електро транспортни средства бусове, камиони, агро роботи и други</w:t>
      </w:r>
      <w:r>
        <w:rPr>
          <w:rFonts w:hint="default"/>
          <w:lang w:val="en-US"/>
        </w:rPr>
        <w:t>;</w:t>
      </w:r>
    </w:p>
    <w:p>
      <w:pPr>
        <w:pStyle w:val="21"/>
        <w:numPr>
          <w:numId w:val="0"/>
        </w:numPr>
        <w:ind w:left="360" w:leftChars="0"/>
      </w:pPr>
    </w:p>
    <w:p>
      <w:pPr>
        <w:pStyle w:val="21"/>
        <w:numPr>
          <w:ilvl w:val="0"/>
          <w:numId w:val="2"/>
        </w:numPr>
      </w:pPr>
      <w:r>
        <w:t>Да бъде допустим разход закупуването на електро-пикапи, бусове, камиони трактори агро роботи и друг иновативен инвентар задвижван от ел.енергия</w:t>
      </w:r>
      <w:r>
        <w:rPr>
          <w:rFonts w:hint="default"/>
          <w:lang w:val="en-US"/>
        </w:rPr>
        <w:t>;</w:t>
      </w:r>
    </w:p>
    <w:p>
      <w:pPr>
        <w:pStyle w:val="21"/>
        <w:numPr>
          <w:numId w:val="0"/>
        </w:numPr>
        <w:ind w:left="360" w:leftChars="0"/>
      </w:pPr>
    </w:p>
    <w:p>
      <w:pPr>
        <w:pStyle w:val="21"/>
        <w:numPr>
          <w:ilvl w:val="0"/>
          <w:numId w:val="2"/>
        </w:numPr>
      </w:pPr>
      <w:r>
        <w:t>Да бъде допустим разход изграждане в стопанството на фермера двупосочна зарядна станция която да може както да зарежда електомобили така и да взема енергия от тях за лични нужди</w:t>
      </w:r>
      <w:r>
        <w:rPr>
          <w:rFonts w:hint="default"/>
          <w:lang w:val="en-US"/>
        </w:rPr>
        <w:t>.</w:t>
      </w:r>
    </w:p>
    <w:p/>
    <w:p>
      <w:r>
        <w:t>Пример:</w:t>
      </w:r>
    </w:p>
    <w:p>
      <w:pPr>
        <w:rPr>
          <w:rFonts w:hint="default"/>
          <w:lang w:val="en-US"/>
        </w:rPr>
      </w:pPr>
      <w:r>
        <w:t>Фермер</w:t>
      </w:r>
      <w:r>
        <w:rPr>
          <w:lang w:val="en-US"/>
        </w:rPr>
        <w:t>ът</w:t>
      </w:r>
      <w:r>
        <w:t xml:space="preserve"> е на полето с електромобил и си го зарежда на полето</w:t>
      </w:r>
      <w:r>
        <w:rPr>
          <w:rFonts w:hint="default"/>
          <w:lang w:val="en-US"/>
        </w:rPr>
        <w:t>,</w:t>
      </w:r>
      <w:r>
        <w:t xml:space="preserve"> докато пребивава там, а след като се върне в стопанския двор</w:t>
      </w:r>
      <w:r>
        <w:rPr>
          <w:rFonts w:hint="default"/>
          <w:lang w:val="en-US"/>
        </w:rPr>
        <w:t>,</w:t>
      </w:r>
      <w:r>
        <w:t xml:space="preserve"> включва електромобила в станцията и тя „взема“ ел</w:t>
      </w:r>
      <w:r>
        <w:rPr>
          <w:rFonts w:hint="default"/>
          <w:lang w:val="en-US"/>
        </w:rPr>
        <w:t>.</w:t>
      </w:r>
      <w:r>
        <w:t xml:space="preserve"> енергия от акумулатора на електромобила  и захранва каквото е необходим</w:t>
      </w:r>
      <w:r>
        <w:rPr>
          <w:lang w:val="en-US"/>
        </w:rPr>
        <w:t>о</w:t>
      </w:r>
      <w:r>
        <w:rPr>
          <w:rFonts w:hint="default"/>
          <w:lang w:val="en-US"/>
        </w:rPr>
        <w:t xml:space="preserve">. </w:t>
      </w:r>
    </w:p>
    <w:p>
      <w:pPr>
        <w:rPr>
          <w:rFonts w:hint="default"/>
          <w:lang w:val="en-US"/>
        </w:rPr>
      </w:pPr>
    </w:p>
    <w:p>
      <w:r>
        <w:rPr>
          <w:rFonts w:hint="default"/>
          <w:lang w:val="en-US"/>
        </w:rPr>
        <w:t>Т</w:t>
      </w:r>
      <w:r>
        <w:t>ази система се използва в редица компании за електромобили</w:t>
      </w:r>
      <w:r>
        <w:rPr>
          <w:rFonts w:hint="default"/>
          <w:lang w:val="en-US"/>
        </w:rPr>
        <w:t>,</w:t>
      </w:r>
      <w:r>
        <w:t xml:space="preserve"> които изграждат двупосочни зарядни станции, а електромобилите служат за безжичен пренос на ел</w:t>
      </w:r>
      <w:r>
        <w:rPr>
          <w:rFonts w:hint="default"/>
          <w:lang w:val="en-US"/>
        </w:rPr>
        <w:t>.</w:t>
      </w:r>
      <w:r>
        <w:t xml:space="preserve"> енергия.</w:t>
      </w:r>
    </w:p>
    <w:p/>
    <w:p>
      <w:r>
        <w:t>Да бъде допустима инвестиция за мобилни акумулаторни батерии</w:t>
      </w:r>
      <w:r>
        <w:rPr>
          <w:rFonts w:hint="default"/>
          <w:lang w:val="en-US"/>
        </w:rPr>
        <w:t xml:space="preserve">, по </w:t>
      </w:r>
      <w:r>
        <w:t>подобие на мобилните „Метанови батерии“</w:t>
      </w:r>
      <w:r>
        <w:rPr>
          <w:rFonts w:hint="default"/>
          <w:lang w:val="en-US"/>
        </w:rPr>
        <w:t>,</w:t>
      </w:r>
      <w:r>
        <w:t xml:space="preserve"> които да се зареждат на полето</w:t>
      </w:r>
      <w:r>
        <w:rPr>
          <w:rFonts w:hint="default"/>
          <w:lang w:val="en-US"/>
        </w:rPr>
        <w:t>,</w:t>
      </w:r>
      <w:r>
        <w:t xml:space="preserve"> където няма изградена енерги</w:t>
      </w:r>
      <w:r>
        <w:rPr>
          <w:lang w:val="en-US"/>
        </w:rPr>
        <w:t>й</w:t>
      </w:r>
      <w:r>
        <w:t xml:space="preserve">на мрежа от </w:t>
      </w:r>
      <w:r>
        <w:rPr>
          <w:lang w:val="en-US"/>
        </w:rPr>
        <w:t>а</w:t>
      </w:r>
      <w:r>
        <w:t>грофотоволтаиците и да се транспортират до място</w:t>
      </w:r>
      <w:r>
        <w:rPr>
          <w:rFonts w:hint="default"/>
          <w:lang w:val="en-US"/>
        </w:rPr>
        <w:t xml:space="preserve"> за</w:t>
      </w:r>
      <w:r>
        <w:t xml:space="preserve"> удобно  използване без използване на енерги</w:t>
      </w:r>
      <w:r>
        <w:rPr>
          <w:lang w:val="en-US"/>
        </w:rPr>
        <w:t>й</w:t>
      </w:r>
      <w:r>
        <w:t>ната мрежа за пренос на ел енергия.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Имайки предвид, че селското стопанство е със силно сезонен характер</w:t>
      </w:r>
      <w:r>
        <w:rPr>
          <w:rFonts w:hint="default"/>
          <w:b/>
          <w:bCs/>
          <w:lang w:val="en-US"/>
        </w:rPr>
        <w:t>,</w:t>
      </w:r>
      <w:r>
        <w:rPr>
          <w:b/>
          <w:bCs/>
        </w:rPr>
        <w:t xml:space="preserve"> да се даде възможност за продажба на ел</w:t>
      </w:r>
      <w:r>
        <w:rPr>
          <w:rFonts w:hint="default"/>
          <w:b/>
          <w:bCs/>
          <w:lang w:val="en-US"/>
        </w:rPr>
        <w:t>.</w:t>
      </w:r>
      <w:r>
        <w:rPr>
          <w:b/>
          <w:bCs/>
        </w:rPr>
        <w:t xml:space="preserve"> енергия през „зимния“ невегетационен сезон.</w:t>
      </w:r>
    </w:p>
    <w:p>
      <w:r>
        <w:t xml:space="preserve"> </w:t>
      </w:r>
    </w:p>
    <w:p>
      <w:r>
        <w:t xml:space="preserve">Изгражданите в момента </w:t>
      </w:r>
      <w:r>
        <w:rPr>
          <w:lang w:val="en-US"/>
        </w:rPr>
        <w:t>ф</w:t>
      </w:r>
      <w:r>
        <w:t>отоволтаици</w:t>
      </w:r>
      <w:r>
        <w:rPr>
          <w:rFonts w:hint="default"/>
          <w:lang w:val="en-US"/>
        </w:rPr>
        <w:t>,</w:t>
      </w:r>
      <w:r>
        <w:t xml:space="preserve"> които нямат пряк достъп за механично косене на тревата са изключително опасни за почвеното плодородие, хумуса и най</w:t>
      </w:r>
      <w:r>
        <w:rPr>
          <w:rFonts w:hint="default"/>
          <w:lang w:val="en-US"/>
        </w:rPr>
        <w:t>-</w:t>
      </w:r>
      <w:r>
        <w:t>вероятно само след 3-4 години ще предизвикат ерозия поради трайно загиване на тревата, разрушаване на хумуса, а концентрираните водни потоци от соларните панели ще доведат до трайни ерозионни процеси особено на наклонени терени.</w:t>
      </w:r>
    </w:p>
    <w:p>
      <w:r>
        <w:t>Използването на тотални хербициди</w:t>
      </w:r>
      <w:r>
        <w:rPr>
          <w:rFonts w:hint="default"/>
          <w:lang w:val="en-US"/>
        </w:rPr>
        <w:t>,</w:t>
      </w:r>
      <w:r>
        <w:t xml:space="preserve"> което масово се забранява в ЕС на практика ще остане „разрешено“ на стотици декари</w:t>
      </w:r>
      <w:r>
        <w:rPr>
          <w:rFonts w:hint="default"/>
          <w:lang w:val="en-US"/>
        </w:rPr>
        <w:t>,</w:t>
      </w:r>
      <w:r>
        <w:t xml:space="preserve"> на които са изградени фотоволтаици, а това е изключително ОПАСНО понеже голяма част от тези фотоволтаици се разполага и в зони</w:t>
      </w:r>
      <w:r>
        <w:rPr>
          <w:rFonts w:hint="default"/>
          <w:lang w:val="en-US"/>
        </w:rPr>
        <w:t>,</w:t>
      </w:r>
      <w:r>
        <w:t xml:space="preserve"> които са елемент или част от защитени зони, вододайни зони или зони застрашени от ерозия.</w:t>
      </w:r>
    </w:p>
    <w:p/>
    <w:p>
      <w:r>
        <w:t xml:space="preserve">Твърденията, че земята под фотоволтаиците си „почива“ не отговаря </w:t>
      </w:r>
      <w:r>
        <w:rPr>
          <w:lang w:val="en-US"/>
        </w:rPr>
        <w:t>съвсем</w:t>
      </w:r>
      <w:r>
        <w:rPr>
          <w:rFonts w:hint="default"/>
          <w:lang w:val="en-US"/>
        </w:rPr>
        <w:t xml:space="preserve"> </w:t>
      </w:r>
      <w:r>
        <w:t>на истината</w:t>
      </w:r>
      <w:r>
        <w:rPr>
          <w:rFonts w:hint="default"/>
          <w:lang w:val="en-US"/>
        </w:rPr>
        <w:t>,</w:t>
      </w:r>
      <w:r>
        <w:t xml:space="preserve"> особено във фотоволтаичните паркове</w:t>
      </w:r>
      <w:r>
        <w:rPr>
          <w:rFonts w:hint="default"/>
          <w:lang w:val="en-US"/>
        </w:rPr>
        <w:t>,</w:t>
      </w:r>
      <w:r>
        <w:t xml:space="preserve"> където поради конструктивни решения под панелите е „вечен“ мрак.</w:t>
      </w:r>
    </w:p>
    <w:p/>
    <w:p>
      <w:r>
        <w:t>По тази причина трябва да се променят изискванията и за останалите фотоволтаици</w:t>
      </w:r>
      <w:r>
        <w:rPr>
          <w:rFonts w:hint="default"/>
          <w:lang w:val="en-US"/>
        </w:rPr>
        <w:t>,</w:t>
      </w:r>
      <w:r>
        <w:t xml:space="preserve"> за да запазват почвата жива след срока на експлоатация на солараните панели.</w:t>
      </w:r>
    </w:p>
    <w:p/>
    <w:p>
      <w:r>
        <w:t>Очакваме нашите предложения да бъдат взети под внимание както от Комисията по земеделие</w:t>
      </w:r>
      <w:r>
        <w:rPr>
          <w:rFonts w:hint="default"/>
          <w:lang w:val="en-US"/>
        </w:rPr>
        <w:t xml:space="preserve">, </w:t>
      </w:r>
      <w:r>
        <w:t>така и от Комитета по наблюдени</w:t>
      </w:r>
      <w:r>
        <w:rPr>
          <w:lang w:val="en-US"/>
        </w:rPr>
        <w:t>е</w:t>
      </w:r>
      <w:r>
        <w:t xml:space="preserve"> и да бъдат включени в дискусиите</w:t>
      </w:r>
      <w:r>
        <w:rPr>
          <w:rFonts w:hint="default"/>
          <w:lang w:val="en-US"/>
        </w:rPr>
        <w:t xml:space="preserve">, </w:t>
      </w:r>
      <w:r>
        <w:t>свързани с изменения и допълнения в Стратегическия план по земеделие на Р</w:t>
      </w:r>
      <w:r>
        <w:rPr>
          <w:lang w:val="en-US"/>
        </w:rPr>
        <w:t>епублика</w:t>
      </w:r>
      <w:r>
        <w:rPr>
          <w:rFonts w:hint="default"/>
          <w:lang w:val="en-US"/>
        </w:rPr>
        <w:t xml:space="preserve"> </w:t>
      </w:r>
      <w:r>
        <w:t>България.</w:t>
      </w:r>
    </w:p>
    <w:p/>
    <w:p>
      <w:pPr>
        <w:ind w:firstLine="709"/>
      </w:pPr>
      <w:r>
        <w:t>С Уважение Божидар Петков и УС на БАм-я</w:t>
      </w:r>
    </w:p>
    <w:p>
      <w:r>
        <w:t>Гр Ловеч.</w:t>
      </w:r>
    </w:p>
    <w:p>
      <w:r>
        <w:t>01.06.2023</w:t>
      </w:r>
    </w:p>
    <w:p>
      <w:pPr>
        <w:pStyle w:val="21"/>
        <w:tabs>
          <w:tab w:val="left" w:pos="2772"/>
        </w:tabs>
        <w:ind w:left="1440"/>
        <w:rPr>
          <w:rFonts w:ascii="Times" w:hAnsi="Times" w:cs="Times"/>
          <w:sz w:val="44"/>
          <w:szCs w:val="44"/>
        </w:rPr>
      </w:pPr>
    </w:p>
    <w:p>
      <w:pPr>
        <w:pStyle w:val="21"/>
        <w:tabs>
          <w:tab w:val="left" w:pos="2772"/>
        </w:tabs>
        <w:ind w:left="1440"/>
        <w:rPr>
          <w:rFonts w:ascii="Times" w:hAnsi="Times" w:cs="Times"/>
          <w:sz w:val="44"/>
          <w:szCs w:val="44"/>
        </w:rPr>
      </w:pPr>
    </w:p>
    <w:p>
      <w:pPr>
        <w:pStyle w:val="21"/>
        <w:tabs>
          <w:tab w:val="left" w:pos="2772"/>
        </w:tabs>
        <w:ind w:left="1440"/>
        <w:rPr>
          <w:rFonts w:ascii="Times" w:hAnsi="Times" w:cs="Times"/>
          <w:sz w:val="44"/>
          <w:szCs w:val="44"/>
        </w:rPr>
      </w:pPr>
    </w:p>
    <w:p>
      <w:pPr>
        <w:pStyle w:val="21"/>
        <w:tabs>
          <w:tab w:val="left" w:pos="2772"/>
        </w:tabs>
        <w:ind w:left="1440"/>
        <w:rPr>
          <w:rFonts w:ascii="Times" w:hAnsi="Times" w:cs="Times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141" w:footer="5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Caladea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038"/>
        <w:tab w:val="left" w:pos="3420"/>
        <w:tab w:val="left" w:pos="4500"/>
        <w:tab w:val="right" w:pos="10205"/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</w:t>
    </w:r>
    <w:r>
      <w:rPr>
        <w:sz w:val="18"/>
        <w:szCs w:val="18"/>
        <w:lang w:val="ru-RU"/>
      </w:rPr>
      <w:t xml:space="preserve">Централен </w:t>
    </w:r>
    <w:r>
      <w:rPr>
        <w:sz w:val="18"/>
        <w:szCs w:val="18"/>
      </w:rPr>
      <w:t>офис: гр. Л</w:t>
    </w:r>
    <w:r>
      <w:rPr>
        <w:sz w:val="18"/>
        <w:szCs w:val="18"/>
        <w:lang w:val="en-US"/>
      </w:rPr>
      <w:t>oв</w:t>
    </w:r>
    <w:r>
      <w:rPr>
        <w:sz w:val="18"/>
        <w:szCs w:val="18"/>
      </w:rPr>
      <w:t>еч</w:t>
    </w:r>
  </w:p>
  <w:p>
    <w:pPr>
      <w:pStyle w:val="9"/>
      <w:tabs>
        <w:tab w:val="left" w:pos="1038"/>
        <w:tab w:val="left" w:pos="7200"/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 xml:space="preserve">Седалище : гр. Лозница  </w:t>
    </w:r>
    <w:r>
      <w:rPr>
        <w:sz w:val="18"/>
        <w:szCs w:val="18"/>
        <w:lang w:val="en-US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ул.Търговска 2 ет-3 офис 1</w:t>
    </w:r>
  </w:p>
  <w:p>
    <w:pPr>
      <w:pStyle w:val="9"/>
      <w:tabs>
        <w:tab w:val="left" w:pos="1038"/>
        <w:tab w:val="left" w:pos="7380"/>
        <w:tab w:val="clear" w:pos="4536"/>
        <w:tab w:val="clear" w:pos="9072"/>
      </w:tabs>
      <w:jc w:val="both"/>
      <w:rPr>
        <w:sz w:val="18"/>
        <w:szCs w:val="18"/>
        <w:lang w:val="ru-RU"/>
      </w:rPr>
    </w:pPr>
    <w:r>
      <w:rPr>
        <w:sz w:val="18"/>
        <w:szCs w:val="18"/>
      </w:rPr>
      <w:t xml:space="preserve">ул. Пенчо Кубадински 26А                                            </w:t>
    </w:r>
    <w:r>
      <w:rPr>
        <w:sz w:val="18"/>
        <w:szCs w:val="18"/>
        <w:lang w:val="en-US"/>
      </w:rPr>
      <w:t xml:space="preserve">                                              </w:t>
    </w:r>
    <w:r>
      <w:rPr>
        <w:sz w:val="18"/>
        <w:szCs w:val="18"/>
      </w:rPr>
      <w:t xml:space="preserve">     тел:00359878 340</w:t>
    </w:r>
    <w:r>
      <w:rPr>
        <w:sz w:val="18"/>
        <w:szCs w:val="18"/>
        <w:lang w:val="ru-RU"/>
      </w:rPr>
      <w:t xml:space="preserve"> 574</w:t>
    </w:r>
    <w:r>
      <w:rPr>
        <w:sz w:val="18"/>
        <w:szCs w:val="18"/>
      </w:rPr>
      <w:t>;</w:t>
    </w:r>
  </w:p>
  <w:p>
    <w:pPr>
      <w:pStyle w:val="9"/>
      <w:tabs>
        <w:tab w:val="left" w:pos="1038"/>
        <w:tab w:val="left" w:pos="7380"/>
        <w:tab w:val="clear" w:pos="4536"/>
        <w:tab w:val="clear" w:pos="9072"/>
      </w:tabs>
      <w:jc w:val="both"/>
      <w:rPr>
        <w:sz w:val="18"/>
        <w:szCs w:val="18"/>
        <w:lang w:val="en-US"/>
      </w:rPr>
    </w:pPr>
    <w:r>
      <w:fldChar w:fldCharType="begin"/>
    </w:r>
    <w:r>
      <w:instrText xml:space="preserve"> HYPERLINK "mailto:bam.petkov@abv.bg" </w:instrText>
    </w:r>
    <w:r>
      <w:fldChar w:fldCharType="separate"/>
    </w:r>
    <w:r>
      <w:rPr>
        <w:rStyle w:val="12"/>
        <w:sz w:val="18"/>
        <w:szCs w:val="18"/>
        <w:lang w:val="en-US"/>
      </w:rPr>
      <w:t>bam</w:t>
    </w:r>
    <w:r>
      <w:rPr>
        <w:rStyle w:val="12"/>
        <w:sz w:val="18"/>
        <w:szCs w:val="18"/>
        <w:lang w:val="ru-RU"/>
      </w:rPr>
      <w:t>.</w:t>
    </w:r>
    <w:r>
      <w:rPr>
        <w:rStyle w:val="12"/>
        <w:sz w:val="18"/>
        <w:szCs w:val="18"/>
        <w:lang w:val="en-US"/>
      </w:rPr>
      <w:t>petkov</w:t>
    </w:r>
    <w:r>
      <w:rPr>
        <w:rStyle w:val="12"/>
        <w:sz w:val="18"/>
        <w:szCs w:val="18"/>
        <w:lang w:val="ru-RU"/>
      </w:rPr>
      <w:t>@</w:t>
    </w:r>
    <w:r>
      <w:rPr>
        <w:rStyle w:val="12"/>
        <w:sz w:val="18"/>
        <w:szCs w:val="18"/>
        <w:lang w:val="en-US"/>
      </w:rPr>
      <w:t>abv</w:t>
    </w:r>
    <w:r>
      <w:rPr>
        <w:rStyle w:val="12"/>
        <w:sz w:val="18"/>
        <w:szCs w:val="18"/>
        <w:lang w:val="ru-RU"/>
      </w:rPr>
      <w:t>.</w:t>
    </w:r>
    <w:r>
      <w:rPr>
        <w:rStyle w:val="12"/>
        <w:sz w:val="18"/>
        <w:szCs w:val="18"/>
        <w:lang w:val="en-US"/>
      </w:rPr>
      <w:t>bg</w:t>
    </w:r>
    <w:r>
      <w:rPr>
        <w:rStyle w:val="12"/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  www.bam-bg.com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555"/>
        <w:tab w:val="left" w:pos="3009"/>
        <w:tab w:val="right" w:pos="10772"/>
      </w:tabs>
      <w:rPr>
        <w:b/>
        <w:i/>
        <w:sz w:val="18"/>
      </w:rPr>
    </w:pPr>
    <w:r>
      <w:rPr>
        <w:b/>
        <w:i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11430</wp:posOffset>
          </wp:positionV>
          <wp:extent cx="1605915" cy="1591945"/>
          <wp:effectExtent l="19050" t="0" r="0" b="0"/>
          <wp:wrapSquare wrapText="bothSides"/>
          <wp:docPr id="7" name="Picture 2" descr="C:\Users\O1S\Desktop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O1S\Desktop\Graphi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159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>-</w:t>
    </w:r>
    <w:r>
      <w:rPr>
        <w:b/>
        <w:i/>
      </w:rPr>
      <w:tab/>
    </w:r>
  </w:p>
  <w:p>
    <w:pPr>
      <w:pStyle w:val="10"/>
      <w:tabs>
        <w:tab w:val="left" w:pos="555"/>
        <w:tab w:val="right" w:pos="10772"/>
      </w:tabs>
      <w:jc w:val="right"/>
      <w:rPr>
        <w:b/>
        <w:i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0566E"/>
    <w:multiLevelType w:val="multilevel"/>
    <w:tmpl w:val="1410566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D132CA"/>
    <w:multiLevelType w:val="multilevel"/>
    <w:tmpl w:val="5BD132C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7"/>
    <w:rsid w:val="00000F55"/>
    <w:rsid w:val="000115CC"/>
    <w:rsid w:val="00021030"/>
    <w:rsid w:val="00022520"/>
    <w:rsid w:val="0002584B"/>
    <w:rsid w:val="00031493"/>
    <w:rsid w:val="00032196"/>
    <w:rsid w:val="00040991"/>
    <w:rsid w:val="000448B8"/>
    <w:rsid w:val="00080C2C"/>
    <w:rsid w:val="000828F8"/>
    <w:rsid w:val="0008489F"/>
    <w:rsid w:val="00090F11"/>
    <w:rsid w:val="00097B25"/>
    <w:rsid w:val="000A24BF"/>
    <w:rsid w:val="000A2C9E"/>
    <w:rsid w:val="000A2FDE"/>
    <w:rsid w:val="000B14EB"/>
    <w:rsid w:val="000B46E9"/>
    <w:rsid w:val="000C1767"/>
    <w:rsid w:val="000C2EFC"/>
    <w:rsid w:val="000F4B20"/>
    <w:rsid w:val="000F4D04"/>
    <w:rsid w:val="000F66D4"/>
    <w:rsid w:val="0010715F"/>
    <w:rsid w:val="00113580"/>
    <w:rsid w:val="001159D5"/>
    <w:rsid w:val="00116BAF"/>
    <w:rsid w:val="001261FA"/>
    <w:rsid w:val="001309CD"/>
    <w:rsid w:val="00135375"/>
    <w:rsid w:val="00137FAC"/>
    <w:rsid w:val="0014495D"/>
    <w:rsid w:val="0016198F"/>
    <w:rsid w:val="00163B18"/>
    <w:rsid w:val="00180AEA"/>
    <w:rsid w:val="00183BE6"/>
    <w:rsid w:val="00184916"/>
    <w:rsid w:val="00186648"/>
    <w:rsid w:val="00186D8E"/>
    <w:rsid w:val="001A4689"/>
    <w:rsid w:val="001B2B93"/>
    <w:rsid w:val="001C08ED"/>
    <w:rsid w:val="001C2EB0"/>
    <w:rsid w:val="001D53DE"/>
    <w:rsid w:val="001D572C"/>
    <w:rsid w:val="001D69B7"/>
    <w:rsid w:val="001F0D01"/>
    <w:rsid w:val="00205F6A"/>
    <w:rsid w:val="002060D2"/>
    <w:rsid w:val="00210AE8"/>
    <w:rsid w:val="00212750"/>
    <w:rsid w:val="00232807"/>
    <w:rsid w:val="00233EAB"/>
    <w:rsid w:val="00235029"/>
    <w:rsid w:val="0023574B"/>
    <w:rsid w:val="002479CE"/>
    <w:rsid w:val="0025622A"/>
    <w:rsid w:val="002601B1"/>
    <w:rsid w:val="00260A56"/>
    <w:rsid w:val="002755AB"/>
    <w:rsid w:val="002778DB"/>
    <w:rsid w:val="00296443"/>
    <w:rsid w:val="002D4EF9"/>
    <w:rsid w:val="002D5F34"/>
    <w:rsid w:val="002E5411"/>
    <w:rsid w:val="00302534"/>
    <w:rsid w:val="003114C1"/>
    <w:rsid w:val="00321190"/>
    <w:rsid w:val="00321C0B"/>
    <w:rsid w:val="003228F5"/>
    <w:rsid w:val="00332DD2"/>
    <w:rsid w:val="00340183"/>
    <w:rsid w:val="00343BA4"/>
    <w:rsid w:val="00343F75"/>
    <w:rsid w:val="00351368"/>
    <w:rsid w:val="0035538A"/>
    <w:rsid w:val="00363F7D"/>
    <w:rsid w:val="00364700"/>
    <w:rsid w:val="0036533A"/>
    <w:rsid w:val="00367BD7"/>
    <w:rsid w:val="00374A32"/>
    <w:rsid w:val="003C37EA"/>
    <w:rsid w:val="003D2C72"/>
    <w:rsid w:val="003E2303"/>
    <w:rsid w:val="003F463B"/>
    <w:rsid w:val="0040355D"/>
    <w:rsid w:val="0040580F"/>
    <w:rsid w:val="0042352D"/>
    <w:rsid w:val="004304B1"/>
    <w:rsid w:val="00431489"/>
    <w:rsid w:val="004506E7"/>
    <w:rsid w:val="00451671"/>
    <w:rsid w:val="00463735"/>
    <w:rsid w:val="00465628"/>
    <w:rsid w:val="00466C1E"/>
    <w:rsid w:val="00467EBC"/>
    <w:rsid w:val="004825A2"/>
    <w:rsid w:val="00485150"/>
    <w:rsid w:val="00494878"/>
    <w:rsid w:val="004A278D"/>
    <w:rsid w:val="004A345D"/>
    <w:rsid w:val="004B226B"/>
    <w:rsid w:val="004B3ADE"/>
    <w:rsid w:val="004C3F0D"/>
    <w:rsid w:val="004C7F0A"/>
    <w:rsid w:val="004E1122"/>
    <w:rsid w:val="004E3950"/>
    <w:rsid w:val="00505C47"/>
    <w:rsid w:val="005133DE"/>
    <w:rsid w:val="00520C3A"/>
    <w:rsid w:val="00526B19"/>
    <w:rsid w:val="00527D35"/>
    <w:rsid w:val="00530CB2"/>
    <w:rsid w:val="00536D27"/>
    <w:rsid w:val="0055022A"/>
    <w:rsid w:val="005523DE"/>
    <w:rsid w:val="00555611"/>
    <w:rsid w:val="005611AC"/>
    <w:rsid w:val="00567E24"/>
    <w:rsid w:val="00570484"/>
    <w:rsid w:val="00571994"/>
    <w:rsid w:val="0057455A"/>
    <w:rsid w:val="005922C7"/>
    <w:rsid w:val="00596188"/>
    <w:rsid w:val="005A4943"/>
    <w:rsid w:val="005B1219"/>
    <w:rsid w:val="005C6B8F"/>
    <w:rsid w:val="005D74E0"/>
    <w:rsid w:val="005E0082"/>
    <w:rsid w:val="005E12A1"/>
    <w:rsid w:val="005E58BF"/>
    <w:rsid w:val="005F4103"/>
    <w:rsid w:val="00605D35"/>
    <w:rsid w:val="006125EF"/>
    <w:rsid w:val="00616C00"/>
    <w:rsid w:val="00626F5F"/>
    <w:rsid w:val="006308E1"/>
    <w:rsid w:val="00641CBE"/>
    <w:rsid w:val="00642F9B"/>
    <w:rsid w:val="0064611A"/>
    <w:rsid w:val="00654550"/>
    <w:rsid w:val="0065738B"/>
    <w:rsid w:val="00667571"/>
    <w:rsid w:val="00671814"/>
    <w:rsid w:val="00672EDD"/>
    <w:rsid w:val="00672F8E"/>
    <w:rsid w:val="006B00D5"/>
    <w:rsid w:val="006B054F"/>
    <w:rsid w:val="006B06B1"/>
    <w:rsid w:val="006B1214"/>
    <w:rsid w:val="006B382D"/>
    <w:rsid w:val="006B5F46"/>
    <w:rsid w:val="006C3988"/>
    <w:rsid w:val="006D0766"/>
    <w:rsid w:val="006D3E85"/>
    <w:rsid w:val="006D4770"/>
    <w:rsid w:val="006D6772"/>
    <w:rsid w:val="006E2738"/>
    <w:rsid w:val="006E325E"/>
    <w:rsid w:val="006F241B"/>
    <w:rsid w:val="006F4FDB"/>
    <w:rsid w:val="006F5A21"/>
    <w:rsid w:val="0070362A"/>
    <w:rsid w:val="007213F0"/>
    <w:rsid w:val="0072574F"/>
    <w:rsid w:val="007257DE"/>
    <w:rsid w:val="00753B11"/>
    <w:rsid w:val="007572BE"/>
    <w:rsid w:val="00772DCE"/>
    <w:rsid w:val="007730CD"/>
    <w:rsid w:val="00791FF5"/>
    <w:rsid w:val="00797B5D"/>
    <w:rsid w:val="007A0C79"/>
    <w:rsid w:val="007A28FB"/>
    <w:rsid w:val="007A302A"/>
    <w:rsid w:val="007A5DD4"/>
    <w:rsid w:val="007D4AD7"/>
    <w:rsid w:val="007D6AD8"/>
    <w:rsid w:val="007D733C"/>
    <w:rsid w:val="007E4FD4"/>
    <w:rsid w:val="007F5AB4"/>
    <w:rsid w:val="007F7FD0"/>
    <w:rsid w:val="0080298A"/>
    <w:rsid w:val="00811014"/>
    <w:rsid w:val="0082062E"/>
    <w:rsid w:val="00830BF6"/>
    <w:rsid w:val="0083106B"/>
    <w:rsid w:val="0083237F"/>
    <w:rsid w:val="00833092"/>
    <w:rsid w:val="008342D3"/>
    <w:rsid w:val="00876C14"/>
    <w:rsid w:val="00881908"/>
    <w:rsid w:val="00890408"/>
    <w:rsid w:val="00890E4B"/>
    <w:rsid w:val="008910BF"/>
    <w:rsid w:val="00897DCC"/>
    <w:rsid w:val="008A1E39"/>
    <w:rsid w:val="008A37AD"/>
    <w:rsid w:val="008B0929"/>
    <w:rsid w:val="008B521C"/>
    <w:rsid w:val="008C09EA"/>
    <w:rsid w:val="008C7DB6"/>
    <w:rsid w:val="008D7975"/>
    <w:rsid w:val="008E162B"/>
    <w:rsid w:val="00905B3A"/>
    <w:rsid w:val="009165E5"/>
    <w:rsid w:val="009509ED"/>
    <w:rsid w:val="009515EF"/>
    <w:rsid w:val="0095194E"/>
    <w:rsid w:val="00951AEB"/>
    <w:rsid w:val="0095449C"/>
    <w:rsid w:val="00962395"/>
    <w:rsid w:val="009630CC"/>
    <w:rsid w:val="0097094E"/>
    <w:rsid w:val="009818AC"/>
    <w:rsid w:val="009830FD"/>
    <w:rsid w:val="0098541C"/>
    <w:rsid w:val="009A0003"/>
    <w:rsid w:val="009C08B7"/>
    <w:rsid w:val="009C4411"/>
    <w:rsid w:val="009C7F65"/>
    <w:rsid w:val="009E16AF"/>
    <w:rsid w:val="009E2C8B"/>
    <w:rsid w:val="009E5F4A"/>
    <w:rsid w:val="009F716E"/>
    <w:rsid w:val="00A022AB"/>
    <w:rsid w:val="00A20823"/>
    <w:rsid w:val="00A702B4"/>
    <w:rsid w:val="00A840AB"/>
    <w:rsid w:val="00A9512E"/>
    <w:rsid w:val="00AA0830"/>
    <w:rsid w:val="00AB0EE4"/>
    <w:rsid w:val="00AC5CD8"/>
    <w:rsid w:val="00AD6579"/>
    <w:rsid w:val="00AE096D"/>
    <w:rsid w:val="00AE1488"/>
    <w:rsid w:val="00AE38F7"/>
    <w:rsid w:val="00AF0C38"/>
    <w:rsid w:val="00B13C39"/>
    <w:rsid w:val="00B159DF"/>
    <w:rsid w:val="00B15C60"/>
    <w:rsid w:val="00B1627A"/>
    <w:rsid w:val="00B20AAE"/>
    <w:rsid w:val="00B2250F"/>
    <w:rsid w:val="00B25FBC"/>
    <w:rsid w:val="00B37424"/>
    <w:rsid w:val="00B41F31"/>
    <w:rsid w:val="00B42521"/>
    <w:rsid w:val="00B4368B"/>
    <w:rsid w:val="00B46429"/>
    <w:rsid w:val="00B5036B"/>
    <w:rsid w:val="00B509F1"/>
    <w:rsid w:val="00B73914"/>
    <w:rsid w:val="00B97D22"/>
    <w:rsid w:val="00BA47F2"/>
    <w:rsid w:val="00BA4984"/>
    <w:rsid w:val="00BC4290"/>
    <w:rsid w:val="00BE79DA"/>
    <w:rsid w:val="00BF1C91"/>
    <w:rsid w:val="00BF2F17"/>
    <w:rsid w:val="00BF5866"/>
    <w:rsid w:val="00C01636"/>
    <w:rsid w:val="00C252CF"/>
    <w:rsid w:val="00C35CE2"/>
    <w:rsid w:val="00C665EC"/>
    <w:rsid w:val="00C7297E"/>
    <w:rsid w:val="00C770DF"/>
    <w:rsid w:val="00C860EB"/>
    <w:rsid w:val="00C91A93"/>
    <w:rsid w:val="00C97C48"/>
    <w:rsid w:val="00CA29AA"/>
    <w:rsid w:val="00CB4590"/>
    <w:rsid w:val="00CB5F03"/>
    <w:rsid w:val="00CC3C98"/>
    <w:rsid w:val="00CE750D"/>
    <w:rsid w:val="00CF4C9E"/>
    <w:rsid w:val="00CF5924"/>
    <w:rsid w:val="00D06679"/>
    <w:rsid w:val="00D07288"/>
    <w:rsid w:val="00D143B8"/>
    <w:rsid w:val="00D228FF"/>
    <w:rsid w:val="00D37E0E"/>
    <w:rsid w:val="00D46A5B"/>
    <w:rsid w:val="00D46F02"/>
    <w:rsid w:val="00D539A4"/>
    <w:rsid w:val="00D608CE"/>
    <w:rsid w:val="00D65B19"/>
    <w:rsid w:val="00D66794"/>
    <w:rsid w:val="00D71394"/>
    <w:rsid w:val="00D71641"/>
    <w:rsid w:val="00D73946"/>
    <w:rsid w:val="00D77361"/>
    <w:rsid w:val="00D84EF9"/>
    <w:rsid w:val="00D84F3A"/>
    <w:rsid w:val="00D9096F"/>
    <w:rsid w:val="00D90A0C"/>
    <w:rsid w:val="00DA1F35"/>
    <w:rsid w:val="00DB5054"/>
    <w:rsid w:val="00DB643E"/>
    <w:rsid w:val="00DD243B"/>
    <w:rsid w:val="00DE37CD"/>
    <w:rsid w:val="00DE5C44"/>
    <w:rsid w:val="00E26FB7"/>
    <w:rsid w:val="00E27A94"/>
    <w:rsid w:val="00E41180"/>
    <w:rsid w:val="00E51F30"/>
    <w:rsid w:val="00E55893"/>
    <w:rsid w:val="00E567CD"/>
    <w:rsid w:val="00E61B67"/>
    <w:rsid w:val="00E6538A"/>
    <w:rsid w:val="00E6659E"/>
    <w:rsid w:val="00E67EBA"/>
    <w:rsid w:val="00E753B0"/>
    <w:rsid w:val="00E81FE0"/>
    <w:rsid w:val="00E8364D"/>
    <w:rsid w:val="00E868F3"/>
    <w:rsid w:val="00E92123"/>
    <w:rsid w:val="00EB2453"/>
    <w:rsid w:val="00EB450A"/>
    <w:rsid w:val="00ED0923"/>
    <w:rsid w:val="00ED6E0F"/>
    <w:rsid w:val="00EE176D"/>
    <w:rsid w:val="00EE760B"/>
    <w:rsid w:val="00EF2BA7"/>
    <w:rsid w:val="00F00214"/>
    <w:rsid w:val="00F05EEA"/>
    <w:rsid w:val="00F06469"/>
    <w:rsid w:val="00F12585"/>
    <w:rsid w:val="00F16AE0"/>
    <w:rsid w:val="00F52556"/>
    <w:rsid w:val="00F644B8"/>
    <w:rsid w:val="00F6522C"/>
    <w:rsid w:val="00F66081"/>
    <w:rsid w:val="00F75FEA"/>
    <w:rsid w:val="00F776F6"/>
    <w:rsid w:val="00FB2529"/>
    <w:rsid w:val="00FB27A1"/>
    <w:rsid w:val="00FB29AE"/>
    <w:rsid w:val="00FB472B"/>
    <w:rsid w:val="00FB7893"/>
    <w:rsid w:val="00FC3F4B"/>
    <w:rsid w:val="00FE0A55"/>
    <w:rsid w:val="00FE275D"/>
    <w:rsid w:val="00FE5065"/>
    <w:rsid w:val="00FF17AF"/>
    <w:rsid w:val="00FF2E25"/>
    <w:rsid w:val="00FF5658"/>
    <w:rsid w:val="00FF5718"/>
    <w:rsid w:val="3D63FAA6"/>
    <w:rsid w:val="4AEF2F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unhideWhenUsed/>
    <w:uiPriority w:val="99"/>
    <w:rPr>
      <w:sz w:val="16"/>
      <w:szCs w:val="16"/>
    </w:rPr>
  </w:style>
  <w:style w:type="paragraph" w:styleId="7">
    <w:name w:val="annotation text"/>
    <w:basedOn w:val="1"/>
    <w:link w:val="22"/>
    <w:unhideWhenUsed/>
    <w:uiPriority w:val="99"/>
    <w:pPr>
      <w:spacing w:after="20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8">
    <w:name w:val="Emphasis"/>
    <w:basedOn w:val="3"/>
    <w:qFormat/>
    <w:uiPriority w:val="20"/>
    <w:rPr>
      <w:i/>
      <w:iCs/>
    </w:rPr>
  </w:style>
  <w:style w:type="paragraph" w:styleId="9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0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1">
    <w:name w:val="HTML Preformatted"/>
    <w:basedOn w:val="1"/>
    <w:link w:val="18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12">
    <w:name w:val="Hyperlink"/>
    <w:basedOn w:val="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rmal (Web)"/>
    <w:basedOn w:val="1"/>
    <w:uiPriority w:val="99"/>
    <w:pPr>
      <w:spacing w:before="100" w:beforeAutospacing="1" w:after="100" w:afterAutospacing="1"/>
    </w:pPr>
  </w:style>
  <w:style w:type="character" w:styleId="14">
    <w:name w:val="Strong"/>
    <w:basedOn w:val="3"/>
    <w:qFormat/>
    <w:uiPriority w:val="22"/>
    <w:rPr>
      <w:b/>
      <w:bCs/>
    </w:rPr>
  </w:style>
  <w:style w:type="paragraph" w:styleId="15">
    <w:name w:val="Subtitle"/>
    <w:basedOn w:val="1"/>
    <w:next w:val="1"/>
    <w:link w:val="26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table" w:styleId="16">
    <w:name w:val="Table Grid"/>
    <w:basedOn w:val="4"/>
    <w:qFormat/>
    <w:uiPriority w:val="59"/>
    <w:rPr>
      <w:rFonts w:asciiTheme="majorHAnsi" w:hAnsiTheme="majorHAnsi" w:eastAsiaTheme="minorHAnsi" w:cstheme="minorBid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link w:val="25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8">
    <w:name w:val="HTML стандартен Знак"/>
    <w:basedOn w:val="3"/>
    <w:link w:val="11"/>
    <w:uiPriority w:val="0"/>
    <w:rPr>
      <w:rFonts w:ascii="Courier New" w:hAnsi="Courier New" w:cs="Courier New"/>
    </w:rPr>
  </w:style>
  <w:style w:type="paragraph" w:customStyle="1" w:styleId="19">
    <w:name w:val="Char"/>
    <w:basedOn w:val="1"/>
    <w:uiPriority w:val="0"/>
    <w:pPr>
      <w:widowControl w:val="0"/>
      <w:tabs>
        <w:tab w:val="left" w:pos="360"/>
      </w:tabs>
      <w:jc w:val="both"/>
    </w:pPr>
    <w:rPr>
      <w:rFonts w:ascii="Arial" w:hAnsi="Arial" w:eastAsia="SimSun" w:cs="Arial"/>
      <w:kern w:val="2"/>
      <w:sz w:val="20"/>
      <w:lang w:val="en-US" w:eastAsia="zh-CN"/>
    </w:rPr>
  </w:style>
  <w:style w:type="character" w:customStyle="1" w:styleId="20">
    <w:name w:val="Изнесен текст Знак"/>
    <w:basedOn w:val="3"/>
    <w:link w:val="5"/>
    <w:qFormat/>
    <w:uiPriority w:val="0"/>
    <w:rPr>
      <w:rFonts w:ascii="Tahoma" w:hAnsi="Tahoma" w:cs="Tahoma"/>
      <w:sz w:val="16"/>
      <w:szCs w:val="16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Текст на коментар Знак"/>
    <w:basedOn w:val="3"/>
    <w:link w:val="7"/>
    <w:qFormat/>
    <w:uiPriority w:val="99"/>
    <w:rPr>
      <w:rFonts w:asciiTheme="minorHAnsi" w:hAnsiTheme="minorHAnsi" w:eastAsiaTheme="minorHAnsi" w:cstheme="minorBidi"/>
      <w:lang w:eastAsia="en-US"/>
    </w:rPr>
  </w:style>
  <w:style w:type="character" w:customStyle="1" w:styleId="23">
    <w:name w:val="alt-edited1"/>
    <w:basedOn w:val="3"/>
    <w:qFormat/>
    <w:uiPriority w:val="0"/>
    <w:rPr>
      <w:color w:val="4D90F0"/>
    </w:rPr>
  </w:style>
  <w:style w:type="character" w:customStyle="1" w:styleId="24">
    <w:name w:val="Заглавие 1 Знак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5">
    <w:name w:val="Заглавие Знак"/>
    <w:basedOn w:val="3"/>
    <w:link w:val="17"/>
    <w:qFormat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6">
    <w:name w:val="Подзаглавие Знак"/>
    <w:basedOn w:val="3"/>
    <w:link w:val="15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7">
    <w:name w:val="Heading #1_"/>
    <w:basedOn w:val="3"/>
    <w:link w:val="28"/>
    <w:qFormat/>
    <w:uiPriority w:val="0"/>
    <w:rPr>
      <w:rFonts w:ascii="Arial" w:hAnsi="Arial" w:eastAsia="Arial" w:cs="Arial"/>
      <w:sz w:val="31"/>
      <w:szCs w:val="31"/>
      <w:shd w:val="clear" w:color="auto" w:fill="FFFFFF"/>
    </w:rPr>
  </w:style>
  <w:style w:type="paragraph" w:customStyle="1" w:styleId="28">
    <w:name w:val="Heading #1"/>
    <w:basedOn w:val="1"/>
    <w:link w:val="27"/>
    <w:uiPriority w:val="0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hAnsi="Arial" w:eastAsia="Arial" w:cs="Arial"/>
      <w:sz w:val="31"/>
      <w:szCs w:val="31"/>
    </w:rPr>
  </w:style>
  <w:style w:type="character" w:customStyle="1" w:styleId="29">
    <w:name w:val="Body text_"/>
    <w:basedOn w:val="3"/>
    <w:link w:val="30"/>
    <w:qFormat/>
    <w:uiPriority w:val="0"/>
    <w:rPr>
      <w:rFonts w:ascii="Arial" w:hAnsi="Arial" w:eastAsia="Arial" w:cs="Arial"/>
      <w:sz w:val="27"/>
      <w:szCs w:val="27"/>
      <w:shd w:val="clear" w:color="auto" w:fill="FFFFFF"/>
    </w:rPr>
  </w:style>
  <w:style w:type="paragraph" w:customStyle="1" w:styleId="30">
    <w:name w:val="Body Text1"/>
    <w:basedOn w:val="1"/>
    <w:link w:val="29"/>
    <w:qFormat/>
    <w:uiPriority w:val="0"/>
    <w:pPr>
      <w:widowControl w:val="0"/>
      <w:shd w:val="clear" w:color="auto" w:fill="FFFFFF"/>
      <w:spacing w:before="720" w:after="1020" w:line="0" w:lineRule="atLeast"/>
      <w:jc w:val="center"/>
    </w:pPr>
    <w:rPr>
      <w:rFonts w:ascii="Arial" w:hAnsi="Arial" w:eastAsia="Arial" w:cs="Arial"/>
      <w:sz w:val="27"/>
      <w:szCs w:val="27"/>
    </w:rPr>
  </w:style>
  <w:style w:type="character" w:customStyle="1" w:styleId="31">
    <w:name w:val="apple-converted-space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bibeto/C:\Users\User\Desktop\&#1051;&#1086;&#1075;&#1086;%20&#1041;&#1040;&#105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Лого БАМ</Template>
  <Company>HOME</Company>
  <Pages>3</Pages>
  <Words>1243</Words>
  <Characters>7090</Characters>
  <Lines>59</Lines>
  <Paragraphs>16</Paragraphs>
  <TotalTime>108</TotalTime>
  <ScaleCrop>false</ScaleCrop>
  <LinksUpToDate>false</LinksUpToDate>
  <CharactersWithSpaces>8317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2023-06-01T09:08:00Z</dcterms:created>
  <dc:creator>User</dc:creator>
  <cp:lastModifiedBy>Biliana Pancheva</cp:lastModifiedBy>
  <cp:lastPrinted>2022-01-29T00:24:00Z</cp:lastPrinted>
  <dcterms:modified xsi:type="dcterms:W3CDTF">2023-06-01T12:47:02Z</dcterms:modified>
  <dc:title>Специално предложение за фирма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