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9900"/>
          <w:sz w:val="40"/>
          <w:szCs w:val="40"/>
        </w:rPr>
      </w:pPr>
      <w:r w:rsidDel="00000000" w:rsidR="00000000" w:rsidRPr="00000000">
        <w:rPr>
          <w:b w:val="1"/>
          <w:color w:val="ff9900"/>
          <w:sz w:val="40"/>
          <w:szCs w:val="40"/>
          <w:rtl w:val="0"/>
        </w:rPr>
        <w:t xml:space="preserve">SCALE UP DAYS 2023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25 - 27 Април 2023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София Тех Парк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Ден 1: 25 Април 2023: Възможности за малки и средни предприятия и цифрови иновационни хъбове</w:t>
      </w: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-6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8610"/>
        <w:tblGridChange w:id="0">
          <w:tblGrid>
            <w:gridCol w:w="1665"/>
            <w:gridCol w:w="86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10:00 - 10:30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Регистрация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10:30 - 10:45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Откриване на конференцията </w:t>
            </w: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i w:val="1"/>
                <w:rtl w:val="0"/>
              </w:rPr>
              <w:t xml:space="preserve">Петър Статев, Председател на ИКТ Клъстер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10:45 - 11:00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Екосистемата за подкрепа на малки и средни предприятия в България</w:t>
            </w:r>
            <w:r w:rsidDel="00000000" w:rsidR="00000000" w:rsidRPr="00000000">
              <w:rPr>
                <w:rtl w:val="0"/>
              </w:rPr>
              <w:t xml:space="preserve">  – </w:t>
            </w:r>
            <w:r w:rsidDel="00000000" w:rsidR="00000000" w:rsidRPr="00000000">
              <w:rPr>
                <w:i w:val="1"/>
                <w:rtl w:val="0"/>
              </w:rPr>
              <w:t xml:space="preserve">Петър Статев,Председател на ИКТ Клъстер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11:00 - 12:30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BOWI - Европейската мрежа за насърчаване на цифрови иновации - Дейност, услуги и успешни истории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Кристина Караниколова, TNO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Ханс Хоуф, Bulcharge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12:30 - 14:00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Обяд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14:00 - 14: 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Отворени възможности по програма Euroclusters за финансиране на иновативни проекти на малки и средни предприятия: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AIBC - </w:t>
            </w:r>
            <w:r w:rsidDel="00000000" w:rsidR="00000000" w:rsidRPr="00000000">
              <w:rPr>
                <w:i w:val="1"/>
                <w:rtl w:val="0"/>
              </w:rPr>
              <w:t xml:space="preserve">Анна Найденова, ИКТ Клъстер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Silicon Eurocluster - </w:t>
            </w:r>
            <w:r w:rsidDel="00000000" w:rsidR="00000000" w:rsidRPr="00000000">
              <w:rPr>
                <w:i w:val="1"/>
                <w:rtl w:val="0"/>
              </w:rPr>
              <w:t xml:space="preserve">Красимира Шиндарова, ИКТ Клъстер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14:40 - 15:10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Възможности  за финансиране на проекти, обучения и повишаване на квалификациите в областта на цифровите технологи</w:t>
            </w:r>
            <w:r w:rsidDel="00000000" w:rsidR="00000000" w:rsidRPr="00000000">
              <w:rPr>
                <w:rtl w:val="0"/>
              </w:rPr>
              <w:t xml:space="preserve">и - </w:t>
            </w:r>
            <w:r w:rsidDel="00000000" w:rsidR="00000000" w:rsidRPr="00000000">
              <w:rPr>
                <w:i w:val="1"/>
                <w:rtl w:val="0"/>
              </w:rPr>
              <w:t xml:space="preserve">Мария Рока, FundingBox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15:10 - 15:30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0" w:firstLine="0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Еразъм за начинаещи предприемачи 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i w:val="1"/>
                <w:rtl w:val="0"/>
              </w:rPr>
              <w:t xml:space="preserve">Тодор Митов, ИКТ Клъстер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15:30 - 15:45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Enterprise Europe Network  - услуги в подкрепа на бизнеса</w:t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rtl w:val="0"/>
              </w:rPr>
              <w:t xml:space="preserve">Богдана Ваташка, София Тех Парк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15:45 - 16:00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0" w:firstLine="0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Заключителна сесия. Въпроси и отговори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16:30 - 19:00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0" w:firstLine="0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B2B Коктейл 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Ден 2: 26 Април 2023: Digital Twin Day в рамките на  DIH World Community Days 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8040"/>
        <w:tblGridChange w:id="0">
          <w:tblGrid>
            <w:gridCol w:w="1650"/>
            <w:gridCol w:w="8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10:00 - 10:20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Откриване на Digital Twin Day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10:20 - 10:50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Цифрови Двойници </w:t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rtl w:val="0"/>
              </w:rPr>
              <w:t xml:space="preserve">проф. Георги Тодоров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10:50 - 11:10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0" w:firstLine="0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CATRobo Digital Twin,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Spesima GmbH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11:10 - 11:30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0" w:firstLine="0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MYX Digital Twin - </w:t>
            </w:r>
            <w:r w:rsidDel="00000000" w:rsidR="00000000" w:rsidRPr="00000000">
              <w:rPr>
                <w:i w:val="1"/>
                <w:rtl w:val="0"/>
              </w:rPr>
              <w:t xml:space="preserve">MYX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11:30 - 11:50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0" w:firstLine="0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Дигиталните двойници и високопроизводителните изчисления</w:t>
            </w:r>
            <w:r w:rsidDel="00000000" w:rsidR="00000000" w:rsidRPr="00000000">
              <w:rPr>
                <w:rtl w:val="0"/>
              </w:rPr>
              <w:t xml:space="preserve"> Discoverer, </w:t>
            </w:r>
            <w:r w:rsidDel="00000000" w:rsidR="00000000" w:rsidRPr="00000000">
              <w:rPr>
                <w:i w:val="1"/>
                <w:rtl w:val="0"/>
              </w:rPr>
              <w:t xml:space="preserve">Кирил Кирилов,  София Тех Парк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11:50 - 12:00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0" w:firstLine="0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Заключителни речи. Въпроси и отговори</w:t>
            </w:r>
          </w:p>
        </w:tc>
      </w:tr>
    </w:tbl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Ден 3: 27 April 2023: Local Robot Days - Конференция, изложение и демонстрация на технологии</w:t>
      </w:r>
    </w:p>
    <w:p w:rsidR="00000000" w:rsidDel="00000000" w:rsidP="00000000" w:rsidRDefault="00000000" w:rsidRPr="00000000" w14:paraId="00000034">
      <w:pPr>
        <w:rPr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8055"/>
        <w:tblGridChange w:id="0">
          <w:tblGrid>
            <w:gridCol w:w="1635"/>
            <w:gridCol w:w="80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10:00 - 10:10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Откриване на Local Robot Days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10:10 - 11: 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Роботика в аграрната икономика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Приложение на изкуствен интелект в агро сектора - Лаборатория “Изкуствен интелект и CAD системи  - </w:t>
            </w:r>
            <w:r w:rsidDel="00000000" w:rsidR="00000000" w:rsidRPr="00000000">
              <w:rPr>
                <w:i w:val="1"/>
                <w:rtl w:val="0"/>
              </w:rPr>
              <w:t xml:space="preserve">Радослав Милчев, София Тех Парк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Роботика в селскостопанския и хранително - вкусовия сектор - м</w:t>
            </w:r>
            <w:r w:rsidDel="00000000" w:rsidR="00000000" w:rsidRPr="00000000">
              <w:rPr>
                <w:rtl w:val="0"/>
              </w:rPr>
              <w:t xml:space="preserve">режата agROBOfood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11:00 - 11:15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0" w:firstLine="0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Европейската мрежа DIH2  и възможностите за индустриалните предприятия в България 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i w:val="1"/>
                <w:rtl w:val="0"/>
              </w:rPr>
              <w:t xml:space="preserve"> Али Мухамад, European Dynamics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11:15 - 11:35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Cobot и производството на хартия от камък </w:t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rtl w:val="0"/>
              </w:rPr>
              <w:t xml:space="preserve">Анелия Пергот, Европак България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11:35 - 11:55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Тенденциите в роботиката и автоматизацията - </w:t>
            </w:r>
            <w:r w:rsidDel="00000000" w:rsidR="00000000" w:rsidRPr="00000000">
              <w:rPr>
                <w:i w:val="1"/>
                <w:rtl w:val="0"/>
              </w:rPr>
              <w:t xml:space="preserve">Йонко Чуклев, PARA - Професионална Асоциация за Роботика и Автоматизация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11:55 - 12:15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Успешни истории и добри практики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12:15 - 12:30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Закриване на събитието</w:t>
            </w:r>
          </w:p>
        </w:tc>
      </w:tr>
    </w:tbl>
    <w:p w:rsidR="00000000" w:rsidDel="00000000" w:rsidP="00000000" w:rsidRDefault="00000000" w:rsidRPr="00000000" w14:paraId="00000046">
      <w:pPr>
        <w:rPr>
          <w:color w:val="0000ff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ind w:left="-1133.8582677165355" w:firstLine="0"/>
      <w:rPr/>
    </w:pPr>
    <w:r w:rsidDel="00000000" w:rsidR="00000000" w:rsidRPr="00000000">
      <w:rPr/>
      <w:drawing>
        <wp:inline distB="114300" distT="114300" distL="114300" distR="114300">
          <wp:extent cx="7038975" cy="19859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38975" cy="1985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