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8F" w:rsidRDefault="000B738F" w:rsidP="000B738F">
      <w:pPr>
        <w:rPr>
          <w:rFonts w:ascii="Book Antiqua" w:hAnsi="Book Antiqua"/>
          <w:b/>
          <w:iCs/>
          <w:color w:val="5B9BD5" w:themeColor="accent1"/>
          <w:sz w:val="40"/>
          <w:szCs w:val="40"/>
        </w:rPr>
      </w:pPr>
      <w:bookmarkStart w:id="0" w:name="_GoBack"/>
      <w:bookmarkEnd w:id="0"/>
    </w:p>
    <w:p w:rsidR="000B738F" w:rsidRPr="000B738F" w:rsidRDefault="000B738F" w:rsidP="000B738F">
      <w:pPr>
        <w:jc w:val="center"/>
        <w:rPr>
          <w:sz w:val="36"/>
          <w:szCs w:val="36"/>
        </w:rPr>
      </w:pPr>
      <w:proofErr w:type="spellStart"/>
      <w:r w:rsidRPr="000B738F">
        <w:rPr>
          <w:rFonts w:ascii="Book Antiqua" w:hAnsi="Book Antiqua"/>
          <w:b/>
          <w:iCs/>
          <w:color w:val="5B9BD5" w:themeColor="accent1"/>
          <w:sz w:val="36"/>
          <w:szCs w:val="36"/>
          <w:lang w:val="en-US"/>
        </w:rPr>
        <w:t>План</w:t>
      </w:r>
      <w:proofErr w:type="spellEnd"/>
      <w:r w:rsidRPr="000B738F">
        <w:rPr>
          <w:rFonts w:ascii="Book Antiqua" w:hAnsi="Book Antiqua"/>
          <w:b/>
          <w:iCs/>
          <w:color w:val="5B9BD5" w:themeColor="accent1"/>
          <w:sz w:val="36"/>
          <w:szCs w:val="36"/>
          <w:lang w:val="en-US"/>
        </w:rPr>
        <w:t xml:space="preserve"> с </w:t>
      </w:r>
      <w:proofErr w:type="spellStart"/>
      <w:r w:rsidRPr="000B738F">
        <w:rPr>
          <w:rFonts w:ascii="Book Antiqua" w:hAnsi="Book Antiqua"/>
          <w:b/>
          <w:iCs/>
          <w:color w:val="5B9BD5" w:themeColor="accent1"/>
          <w:sz w:val="36"/>
          <w:szCs w:val="36"/>
          <w:lang w:val="en-US"/>
        </w:rPr>
        <w:t>мерки</w:t>
      </w:r>
      <w:proofErr w:type="spellEnd"/>
      <w:r w:rsidRPr="000B738F">
        <w:rPr>
          <w:rFonts w:ascii="Book Antiqua" w:hAnsi="Book Antiqua"/>
          <w:b/>
          <w:iCs/>
          <w:color w:val="5B9BD5" w:themeColor="accent1"/>
          <w:sz w:val="36"/>
          <w:szCs w:val="36"/>
          <w:lang w:val="en-US"/>
        </w:rPr>
        <w:t xml:space="preserve"> </w:t>
      </w:r>
      <w:proofErr w:type="spellStart"/>
      <w:r w:rsidRPr="000B738F">
        <w:rPr>
          <w:rFonts w:ascii="Book Antiqua" w:hAnsi="Book Antiqua"/>
          <w:b/>
          <w:iCs/>
          <w:color w:val="5B9BD5" w:themeColor="accent1"/>
          <w:sz w:val="36"/>
          <w:szCs w:val="36"/>
          <w:lang w:val="en-US"/>
        </w:rPr>
        <w:t>за</w:t>
      </w:r>
      <w:proofErr w:type="spellEnd"/>
      <w:r w:rsidRPr="000B738F">
        <w:rPr>
          <w:rFonts w:ascii="Book Antiqua" w:hAnsi="Book Antiqua"/>
          <w:b/>
          <w:iCs/>
          <w:color w:val="5B9BD5" w:themeColor="accent1"/>
          <w:sz w:val="36"/>
          <w:szCs w:val="36"/>
          <w:lang w:val="en-US"/>
        </w:rPr>
        <w:t xml:space="preserve"> </w:t>
      </w:r>
      <w:proofErr w:type="spellStart"/>
      <w:r w:rsidRPr="000B738F">
        <w:rPr>
          <w:rFonts w:ascii="Book Antiqua" w:hAnsi="Book Antiqua"/>
          <w:b/>
          <w:iCs/>
          <w:color w:val="5B9BD5" w:themeColor="accent1"/>
          <w:sz w:val="36"/>
          <w:szCs w:val="36"/>
          <w:lang w:val="en-US"/>
        </w:rPr>
        <w:t>подобряване</w:t>
      </w:r>
      <w:proofErr w:type="spellEnd"/>
      <w:r w:rsidRPr="000B738F">
        <w:rPr>
          <w:rFonts w:ascii="Book Antiqua" w:hAnsi="Book Antiqua"/>
          <w:b/>
          <w:iCs/>
          <w:color w:val="5B9BD5" w:themeColor="accent1"/>
          <w:sz w:val="36"/>
          <w:szCs w:val="36"/>
          <w:lang w:val="en-US"/>
        </w:rPr>
        <w:t xml:space="preserve"> </w:t>
      </w:r>
      <w:proofErr w:type="spellStart"/>
      <w:r w:rsidRPr="000B738F">
        <w:rPr>
          <w:rFonts w:ascii="Book Antiqua" w:hAnsi="Book Antiqua"/>
          <w:b/>
          <w:iCs/>
          <w:color w:val="5B9BD5" w:themeColor="accent1"/>
          <w:sz w:val="36"/>
          <w:szCs w:val="36"/>
          <w:lang w:val="en-US"/>
        </w:rPr>
        <w:t>дейността</w:t>
      </w:r>
      <w:proofErr w:type="spellEnd"/>
      <w:r w:rsidRPr="000B738F">
        <w:rPr>
          <w:rFonts w:ascii="Book Antiqua" w:hAnsi="Book Antiqua"/>
          <w:b/>
          <w:iCs/>
          <w:color w:val="5B9BD5" w:themeColor="accent1"/>
          <w:sz w:val="36"/>
          <w:szCs w:val="36"/>
          <w:lang w:val="en-US"/>
        </w:rPr>
        <w:t xml:space="preserve"> </w:t>
      </w:r>
      <w:proofErr w:type="spellStart"/>
      <w:r w:rsidRPr="000B738F">
        <w:rPr>
          <w:rFonts w:ascii="Book Antiqua" w:hAnsi="Book Antiqua"/>
          <w:b/>
          <w:iCs/>
          <w:color w:val="5B9BD5" w:themeColor="accent1"/>
          <w:sz w:val="36"/>
          <w:szCs w:val="36"/>
          <w:lang w:val="en-US"/>
        </w:rPr>
        <w:t>на</w:t>
      </w:r>
      <w:proofErr w:type="spellEnd"/>
      <w:r w:rsidRPr="000B738F">
        <w:rPr>
          <w:rFonts w:ascii="Book Antiqua" w:hAnsi="Book Antiqua"/>
          <w:b/>
          <w:iCs/>
          <w:color w:val="5B9BD5" w:themeColor="accent1"/>
          <w:sz w:val="36"/>
          <w:szCs w:val="36"/>
          <w:lang w:val="en-US"/>
        </w:rPr>
        <w:t xml:space="preserve"> ДФ</w:t>
      </w:r>
      <w:r w:rsidRPr="000B738F">
        <w:rPr>
          <w:rFonts w:ascii="Book Antiqua" w:hAnsi="Book Antiqua"/>
          <w:b/>
          <w:iCs/>
          <w:color w:val="5B9BD5" w:themeColor="accent1"/>
          <w:sz w:val="36"/>
          <w:szCs w:val="36"/>
        </w:rPr>
        <w:t xml:space="preserve"> „</w:t>
      </w:r>
      <w:r w:rsidRPr="000B738F">
        <w:rPr>
          <w:rFonts w:ascii="Book Antiqua" w:hAnsi="Book Antiqua"/>
          <w:b/>
          <w:iCs/>
          <w:color w:val="5B9BD5" w:themeColor="accent1"/>
          <w:sz w:val="36"/>
          <w:szCs w:val="36"/>
          <w:lang w:val="en-US"/>
        </w:rPr>
        <w:t>З</w:t>
      </w:r>
      <w:proofErr w:type="spellStart"/>
      <w:r w:rsidRPr="000B738F">
        <w:rPr>
          <w:rFonts w:ascii="Book Antiqua" w:hAnsi="Book Antiqua"/>
          <w:b/>
          <w:iCs/>
          <w:color w:val="5B9BD5" w:themeColor="accent1"/>
          <w:sz w:val="36"/>
          <w:szCs w:val="36"/>
        </w:rPr>
        <w:t>емеделие</w:t>
      </w:r>
      <w:proofErr w:type="spellEnd"/>
      <w:r w:rsidRPr="000B738F">
        <w:rPr>
          <w:rFonts w:ascii="Book Antiqua" w:hAnsi="Book Antiqua"/>
          <w:b/>
          <w:iCs/>
          <w:color w:val="5B9BD5" w:themeColor="accent1"/>
          <w:sz w:val="36"/>
          <w:szCs w:val="36"/>
        </w:rPr>
        <w:t>”</w:t>
      </w:r>
      <w:r w:rsidRPr="000B738F">
        <w:rPr>
          <w:rFonts w:ascii="Book Antiqua" w:hAnsi="Book Antiqua"/>
          <w:b/>
          <w:iCs/>
          <w:color w:val="5B9BD5" w:themeColor="accent1"/>
          <w:sz w:val="36"/>
          <w:szCs w:val="36"/>
          <w:lang w:val="en-US"/>
        </w:rPr>
        <w:t xml:space="preserve"> - </w:t>
      </w:r>
      <w:proofErr w:type="spellStart"/>
      <w:r w:rsidRPr="000B738F">
        <w:rPr>
          <w:rFonts w:ascii="Book Antiqua" w:hAnsi="Book Antiqua"/>
          <w:b/>
          <w:iCs/>
          <w:color w:val="5B9BD5" w:themeColor="accent1"/>
          <w:sz w:val="36"/>
          <w:szCs w:val="36"/>
          <w:lang w:val="en-US"/>
        </w:rPr>
        <w:t>публичност</w:t>
      </w:r>
      <w:proofErr w:type="spellEnd"/>
      <w:r w:rsidRPr="000B738F">
        <w:rPr>
          <w:rFonts w:ascii="Book Antiqua" w:hAnsi="Book Antiqua"/>
          <w:b/>
          <w:iCs/>
          <w:color w:val="5B9BD5" w:themeColor="accent1"/>
          <w:sz w:val="36"/>
          <w:szCs w:val="36"/>
          <w:lang w:val="en-US"/>
        </w:rPr>
        <w:t xml:space="preserve"> и </w:t>
      </w:r>
      <w:proofErr w:type="spellStart"/>
      <w:r w:rsidRPr="000B738F">
        <w:rPr>
          <w:rFonts w:ascii="Book Antiqua" w:hAnsi="Book Antiqua"/>
          <w:b/>
          <w:iCs/>
          <w:color w:val="5B9BD5" w:themeColor="accent1"/>
          <w:sz w:val="36"/>
          <w:szCs w:val="36"/>
          <w:lang w:val="en-US"/>
        </w:rPr>
        <w:t>прозрачност</w:t>
      </w:r>
      <w:proofErr w:type="spellEnd"/>
      <w:r w:rsidRPr="000B738F">
        <w:rPr>
          <w:rFonts w:ascii="Book Antiqua" w:hAnsi="Book Antiqua"/>
          <w:b/>
          <w:iCs/>
          <w:color w:val="5B9BD5" w:themeColor="accent1"/>
          <w:sz w:val="36"/>
          <w:szCs w:val="36"/>
          <w:lang w:val="en-US"/>
        </w:rPr>
        <w:t xml:space="preserve"> в </w:t>
      </w:r>
      <w:proofErr w:type="spellStart"/>
      <w:r w:rsidRPr="000B738F">
        <w:rPr>
          <w:rFonts w:ascii="Book Antiqua" w:hAnsi="Book Antiqua"/>
          <w:b/>
          <w:iCs/>
          <w:color w:val="5B9BD5" w:themeColor="accent1"/>
          <w:sz w:val="36"/>
          <w:szCs w:val="36"/>
          <w:lang w:val="en-US"/>
        </w:rPr>
        <w:t>работата</w:t>
      </w:r>
      <w:proofErr w:type="spellEnd"/>
    </w:p>
    <w:p w:rsidR="0040063F" w:rsidRPr="00007BF9" w:rsidRDefault="0040063F" w:rsidP="0040063F">
      <w:pPr>
        <w:rPr>
          <w:sz w:val="18"/>
          <w:szCs w:val="18"/>
        </w:rPr>
      </w:pPr>
    </w:p>
    <w:p w:rsidR="0040063F" w:rsidRDefault="0040063F" w:rsidP="0040063F">
      <w:pPr>
        <w:rPr>
          <w:rStyle w:val="Strong"/>
          <w:rFonts w:ascii="Arial" w:hAnsi="Arial" w:cs="Arial"/>
          <w:color w:val="666666"/>
          <w:sz w:val="24"/>
          <w:szCs w:val="24"/>
        </w:rPr>
      </w:pPr>
      <w:r w:rsidRPr="00E3439B">
        <w:rPr>
          <w:rStyle w:val="Strong"/>
          <w:rFonts w:ascii="Arial" w:hAnsi="Arial" w:cs="Arial"/>
          <w:color w:val="666666"/>
          <w:sz w:val="24"/>
          <w:szCs w:val="24"/>
        </w:rPr>
        <w:t>Ресори прилагане на мерките от Програмата за развитие на селските райони 2014-2020 (ПРСР) и Програма за морско дело и рибарство (ПМДР) 2014-2020.</w:t>
      </w:r>
    </w:p>
    <w:p w:rsidR="00E3439B" w:rsidRPr="00E3439B" w:rsidRDefault="00E3439B" w:rsidP="00E3439B">
      <w:pPr>
        <w:tabs>
          <w:tab w:val="left" w:pos="2198"/>
        </w:tabs>
        <w:spacing w:after="0" w:line="240" w:lineRule="auto"/>
        <w:jc w:val="both"/>
        <w:rPr>
          <w:rFonts w:ascii="Times New Roman" w:hAnsi="Times New Roman" w:cs="Times New Roman"/>
          <w:b/>
          <w:sz w:val="20"/>
          <w:szCs w:val="20"/>
        </w:rPr>
      </w:pPr>
      <w:r w:rsidRPr="00E3439B">
        <w:rPr>
          <w:rFonts w:ascii="Times New Roman" w:hAnsi="Times New Roman" w:cs="Times New Roman"/>
          <w:b/>
          <w:sz w:val="20"/>
          <w:szCs w:val="20"/>
        </w:rPr>
        <w:t>1. Текущо състояние: забавено разглеждане на процедури и проектни предложения по подхода ЛИДЕР, както следва:</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ab/>
        <w:t>- забавени процедури:</w:t>
      </w:r>
    </w:p>
    <w:tbl>
      <w:tblPr>
        <w:tblStyle w:val="TableGrid"/>
        <w:tblW w:w="8979" w:type="dxa"/>
        <w:jc w:val="center"/>
        <w:tblLook w:val="04A0" w:firstRow="1" w:lastRow="0" w:firstColumn="1" w:lastColumn="0" w:noHBand="0" w:noVBand="1"/>
      </w:tblPr>
      <w:tblGrid>
        <w:gridCol w:w="1587"/>
        <w:gridCol w:w="960"/>
        <w:gridCol w:w="960"/>
        <w:gridCol w:w="960"/>
        <w:gridCol w:w="960"/>
        <w:gridCol w:w="960"/>
        <w:gridCol w:w="960"/>
        <w:gridCol w:w="960"/>
        <w:gridCol w:w="672"/>
      </w:tblGrid>
      <w:tr w:rsidR="00E3439B" w:rsidRPr="00E3439B" w:rsidTr="00B339F8">
        <w:trPr>
          <w:trHeight w:val="300"/>
          <w:jc w:val="center"/>
        </w:trPr>
        <w:tc>
          <w:tcPr>
            <w:tcW w:w="1587" w:type="dxa"/>
            <w:noWrap/>
            <w:hideMark/>
          </w:tcPr>
          <w:p w:rsidR="00E3439B" w:rsidRPr="00E3439B" w:rsidRDefault="00E3439B" w:rsidP="00E3439B">
            <w:pPr>
              <w:tabs>
                <w:tab w:val="left" w:pos="2198"/>
              </w:tabs>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подмерки</w:t>
            </w:r>
            <w:proofErr w:type="spellEnd"/>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4.1.</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4.2</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6.4.1.</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7.2.</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7.5.</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7.6.</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други</w:t>
            </w:r>
          </w:p>
        </w:tc>
        <w:tc>
          <w:tcPr>
            <w:tcW w:w="672"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общо</w:t>
            </w:r>
          </w:p>
        </w:tc>
      </w:tr>
      <w:tr w:rsidR="00E3439B" w:rsidRPr="00E3439B" w:rsidTr="00B339F8">
        <w:trPr>
          <w:trHeight w:val="300"/>
          <w:jc w:val="center"/>
        </w:trPr>
        <w:tc>
          <w:tcPr>
            <w:tcW w:w="1587" w:type="dxa"/>
            <w:noWrap/>
            <w:hideMark/>
          </w:tcPr>
          <w:p w:rsidR="00E3439B" w:rsidRPr="00E3439B" w:rsidRDefault="00E3439B" w:rsidP="00E3439B">
            <w:pPr>
              <w:tabs>
                <w:tab w:val="left" w:pos="2198"/>
              </w:tabs>
              <w:jc w:val="both"/>
              <w:rPr>
                <w:rFonts w:ascii="Times New Roman" w:hAnsi="Times New Roman" w:cs="Times New Roman"/>
                <w:sz w:val="20"/>
                <w:szCs w:val="20"/>
              </w:rPr>
            </w:pPr>
            <w:r w:rsidRPr="00E3439B">
              <w:rPr>
                <w:rFonts w:ascii="Times New Roman" w:hAnsi="Times New Roman" w:cs="Times New Roman"/>
                <w:sz w:val="20"/>
                <w:szCs w:val="20"/>
              </w:rPr>
              <w:t>бр. процедури</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17</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16</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28</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13</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15</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96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14</w:t>
            </w:r>
          </w:p>
        </w:tc>
        <w:tc>
          <w:tcPr>
            <w:tcW w:w="672" w:type="dxa"/>
            <w:noWrap/>
            <w:hideMark/>
          </w:tcPr>
          <w:p w:rsidR="00E3439B" w:rsidRPr="00E3439B" w:rsidRDefault="00E3439B" w:rsidP="00E3439B">
            <w:pPr>
              <w:tabs>
                <w:tab w:val="left" w:pos="2198"/>
              </w:tabs>
              <w:rPr>
                <w:rFonts w:ascii="Times New Roman" w:hAnsi="Times New Roman" w:cs="Times New Roman"/>
                <w:b/>
                <w:sz w:val="20"/>
                <w:szCs w:val="20"/>
              </w:rPr>
            </w:pPr>
            <w:r w:rsidRPr="00E3439B">
              <w:rPr>
                <w:rFonts w:ascii="Times New Roman" w:hAnsi="Times New Roman" w:cs="Times New Roman"/>
                <w:b/>
                <w:sz w:val="20"/>
                <w:szCs w:val="20"/>
              </w:rPr>
              <w:t>107</w:t>
            </w:r>
          </w:p>
        </w:tc>
      </w:tr>
    </w:tbl>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ab/>
        <w:t>- забавени проектни предложения:</w:t>
      </w:r>
    </w:p>
    <w:tbl>
      <w:tblPr>
        <w:tblStyle w:val="TableGrid"/>
        <w:tblW w:w="9799" w:type="dxa"/>
        <w:tblInd w:w="-5" w:type="dxa"/>
        <w:tblLook w:val="04A0" w:firstRow="1" w:lastRow="0" w:firstColumn="1" w:lastColumn="0" w:noHBand="0" w:noVBand="1"/>
      </w:tblPr>
      <w:tblGrid>
        <w:gridCol w:w="1045"/>
        <w:gridCol w:w="940"/>
        <w:gridCol w:w="1050"/>
        <w:gridCol w:w="1057"/>
        <w:gridCol w:w="1057"/>
        <w:gridCol w:w="1057"/>
        <w:gridCol w:w="911"/>
        <w:gridCol w:w="1105"/>
        <w:gridCol w:w="1577"/>
      </w:tblGrid>
      <w:tr w:rsidR="00E3439B" w:rsidRPr="00E3439B" w:rsidTr="00B339F8">
        <w:trPr>
          <w:trHeight w:val="300"/>
        </w:trPr>
        <w:tc>
          <w:tcPr>
            <w:tcW w:w="1045" w:type="dxa"/>
            <w:noWrap/>
            <w:hideMark/>
          </w:tcPr>
          <w:p w:rsidR="00E3439B" w:rsidRPr="00E3439B" w:rsidRDefault="00E3439B" w:rsidP="00E3439B">
            <w:pPr>
              <w:tabs>
                <w:tab w:val="left" w:pos="2198"/>
              </w:tabs>
              <w:jc w:val="both"/>
              <w:rPr>
                <w:rFonts w:ascii="Times New Roman" w:hAnsi="Times New Roman" w:cs="Times New Roman"/>
                <w:bCs/>
                <w:sz w:val="20"/>
                <w:szCs w:val="20"/>
              </w:rPr>
            </w:pPr>
            <w:proofErr w:type="spellStart"/>
            <w:r w:rsidRPr="00E3439B">
              <w:rPr>
                <w:rFonts w:ascii="Times New Roman" w:hAnsi="Times New Roman" w:cs="Times New Roman"/>
                <w:bCs/>
                <w:sz w:val="20"/>
                <w:szCs w:val="20"/>
              </w:rPr>
              <w:t>подмерки</w:t>
            </w:r>
            <w:proofErr w:type="spellEnd"/>
          </w:p>
        </w:tc>
        <w:tc>
          <w:tcPr>
            <w:tcW w:w="940" w:type="dxa"/>
            <w:noWrap/>
            <w:hideMark/>
          </w:tcPr>
          <w:p w:rsidR="00E3439B" w:rsidRPr="00E3439B" w:rsidRDefault="00E3439B" w:rsidP="00E3439B">
            <w:pPr>
              <w:tabs>
                <w:tab w:val="left" w:pos="2198"/>
              </w:tabs>
              <w:rPr>
                <w:rFonts w:ascii="Times New Roman" w:hAnsi="Times New Roman" w:cs="Times New Roman"/>
                <w:bCs/>
                <w:sz w:val="20"/>
                <w:szCs w:val="20"/>
              </w:rPr>
            </w:pPr>
            <w:r w:rsidRPr="00E3439B">
              <w:rPr>
                <w:rFonts w:ascii="Times New Roman" w:hAnsi="Times New Roman" w:cs="Times New Roman"/>
                <w:bCs/>
                <w:sz w:val="20"/>
                <w:szCs w:val="20"/>
              </w:rPr>
              <w:t>4.1.</w:t>
            </w:r>
          </w:p>
        </w:tc>
        <w:tc>
          <w:tcPr>
            <w:tcW w:w="1050" w:type="dxa"/>
            <w:noWrap/>
            <w:hideMark/>
          </w:tcPr>
          <w:p w:rsidR="00E3439B" w:rsidRPr="00E3439B" w:rsidRDefault="00E3439B" w:rsidP="00E3439B">
            <w:pPr>
              <w:tabs>
                <w:tab w:val="left" w:pos="2198"/>
              </w:tabs>
              <w:rPr>
                <w:rFonts w:ascii="Times New Roman" w:hAnsi="Times New Roman" w:cs="Times New Roman"/>
                <w:bCs/>
                <w:sz w:val="20"/>
                <w:szCs w:val="20"/>
              </w:rPr>
            </w:pPr>
            <w:r w:rsidRPr="00E3439B">
              <w:rPr>
                <w:rFonts w:ascii="Times New Roman" w:hAnsi="Times New Roman" w:cs="Times New Roman"/>
                <w:bCs/>
                <w:sz w:val="20"/>
                <w:szCs w:val="20"/>
              </w:rPr>
              <w:t>4.2</w:t>
            </w:r>
          </w:p>
        </w:tc>
        <w:tc>
          <w:tcPr>
            <w:tcW w:w="1057" w:type="dxa"/>
            <w:noWrap/>
            <w:hideMark/>
          </w:tcPr>
          <w:p w:rsidR="00E3439B" w:rsidRPr="00E3439B" w:rsidRDefault="00E3439B" w:rsidP="00E3439B">
            <w:pPr>
              <w:tabs>
                <w:tab w:val="left" w:pos="2198"/>
              </w:tabs>
              <w:rPr>
                <w:rFonts w:ascii="Times New Roman" w:hAnsi="Times New Roman" w:cs="Times New Roman"/>
                <w:bCs/>
                <w:sz w:val="20"/>
                <w:szCs w:val="20"/>
              </w:rPr>
            </w:pPr>
            <w:r w:rsidRPr="00E3439B">
              <w:rPr>
                <w:rFonts w:ascii="Times New Roman" w:hAnsi="Times New Roman" w:cs="Times New Roman"/>
                <w:bCs/>
                <w:sz w:val="20"/>
                <w:szCs w:val="20"/>
              </w:rPr>
              <w:t>6.4.1.</w:t>
            </w:r>
          </w:p>
        </w:tc>
        <w:tc>
          <w:tcPr>
            <w:tcW w:w="1057" w:type="dxa"/>
            <w:noWrap/>
            <w:hideMark/>
          </w:tcPr>
          <w:p w:rsidR="00E3439B" w:rsidRPr="00E3439B" w:rsidRDefault="00E3439B" w:rsidP="00E3439B">
            <w:pPr>
              <w:tabs>
                <w:tab w:val="left" w:pos="2198"/>
              </w:tabs>
              <w:rPr>
                <w:rFonts w:ascii="Times New Roman" w:hAnsi="Times New Roman" w:cs="Times New Roman"/>
                <w:bCs/>
                <w:sz w:val="20"/>
                <w:szCs w:val="20"/>
              </w:rPr>
            </w:pPr>
            <w:r w:rsidRPr="00E3439B">
              <w:rPr>
                <w:rFonts w:ascii="Times New Roman" w:hAnsi="Times New Roman" w:cs="Times New Roman"/>
                <w:bCs/>
                <w:sz w:val="20"/>
                <w:szCs w:val="20"/>
              </w:rPr>
              <w:t>7.2.</w:t>
            </w:r>
          </w:p>
        </w:tc>
        <w:tc>
          <w:tcPr>
            <w:tcW w:w="1057" w:type="dxa"/>
            <w:noWrap/>
            <w:hideMark/>
          </w:tcPr>
          <w:p w:rsidR="00E3439B" w:rsidRPr="00E3439B" w:rsidRDefault="00E3439B" w:rsidP="00E3439B">
            <w:pPr>
              <w:tabs>
                <w:tab w:val="left" w:pos="2198"/>
              </w:tabs>
              <w:rPr>
                <w:rFonts w:ascii="Times New Roman" w:hAnsi="Times New Roman" w:cs="Times New Roman"/>
                <w:bCs/>
                <w:sz w:val="20"/>
                <w:szCs w:val="20"/>
              </w:rPr>
            </w:pPr>
            <w:r w:rsidRPr="00E3439B">
              <w:rPr>
                <w:rFonts w:ascii="Times New Roman" w:hAnsi="Times New Roman" w:cs="Times New Roman"/>
                <w:bCs/>
                <w:sz w:val="20"/>
                <w:szCs w:val="20"/>
              </w:rPr>
              <w:t>7.5.</w:t>
            </w:r>
          </w:p>
        </w:tc>
        <w:tc>
          <w:tcPr>
            <w:tcW w:w="911" w:type="dxa"/>
            <w:noWrap/>
            <w:hideMark/>
          </w:tcPr>
          <w:p w:rsidR="00E3439B" w:rsidRPr="00E3439B" w:rsidRDefault="00E3439B" w:rsidP="00E3439B">
            <w:pPr>
              <w:tabs>
                <w:tab w:val="left" w:pos="2198"/>
              </w:tabs>
              <w:rPr>
                <w:rFonts w:ascii="Times New Roman" w:hAnsi="Times New Roman" w:cs="Times New Roman"/>
                <w:bCs/>
                <w:sz w:val="20"/>
                <w:szCs w:val="20"/>
              </w:rPr>
            </w:pPr>
            <w:r w:rsidRPr="00E3439B">
              <w:rPr>
                <w:rFonts w:ascii="Times New Roman" w:hAnsi="Times New Roman" w:cs="Times New Roman"/>
                <w:bCs/>
                <w:sz w:val="20"/>
                <w:szCs w:val="20"/>
              </w:rPr>
              <w:t>7.6.</w:t>
            </w:r>
          </w:p>
        </w:tc>
        <w:tc>
          <w:tcPr>
            <w:tcW w:w="1105" w:type="dxa"/>
            <w:noWrap/>
            <w:hideMark/>
          </w:tcPr>
          <w:p w:rsidR="00E3439B" w:rsidRPr="00E3439B" w:rsidRDefault="00E3439B" w:rsidP="00E3439B">
            <w:pPr>
              <w:tabs>
                <w:tab w:val="left" w:pos="2198"/>
              </w:tabs>
              <w:rPr>
                <w:rFonts w:ascii="Times New Roman" w:hAnsi="Times New Roman" w:cs="Times New Roman"/>
                <w:bCs/>
                <w:sz w:val="20"/>
                <w:szCs w:val="20"/>
              </w:rPr>
            </w:pPr>
            <w:r w:rsidRPr="00E3439B">
              <w:rPr>
                <w:rFonts w:ascii="Times New Roman" w:hAnsi="Times New Roman" w:cs="Times New Roman"/>
                <w:bCs/>
                <w:sz w:val="20"/>
                <w:szCs w:val="20"/>
              </w:rPr>
              <w:t>други</w:t>
            </w:r>
          </w:p>
        </w:tc>
        <w:tc>
          <w:tcPr>
            <w:tcW w:w="1577" w:type="dxa"/>
            <w:noWrap/>
            <w:hideMark/>
          </w:tcPr>
          <w:p w:rsidR="00E3439B" w:rsidRPr="00E3439B" w:rsidRDefault="00E3439B" w:rsidP="00E3439B">
            <w:pPr>
              <w:tabs>
                <w:tab w:val="left" w:pos="2198"/>
              </w:tabs>
              <w:rPr>
                <w:rFonts w:ascii="Times New Roman" w:hAnsi="Times New Roman" w:cs="Times New Roman"/>
                <w:bCs/>
                <w:sz w:val="20"/>
                <w:szCs w:val="20"/>
              </w:rPr>
            </w:pPr>
            <w:r w:rsidRPr="00E3439B">
              <w:rPr>
                <w:rFonts w:ascii="Times New Roman" w:hAnsi="Times New Roman" w:cs="Times New Roman"/>
                <w:bCs/>
                <w:sz w:val="20"/>
                <w:szCs w:val="20"/>
              </w:rPr>
              <w:t>общо</w:t>
            </w:r>
          </w:p>
        </w:tc>
      </w:tr>
      <w:tr w:rsidR="00E3439B" w:rsidRPr="00E3439B" w:rsidTr="00B339F8">
        <w:trPr>
          <w:trHeight w:val="300"/>
        </w:trPr>
        <w:tc>
          <w:tcPr>
            <w:tcW w:w="1045" w:type="dxa"/>
            <w:noWrap/>
            <w:hideMark/>
          </w:tcPr>
          <w:p w:rsidR="00E3439B" w:rsidRPr="00E3439B" w:rsidRDefault="00E3439B" w:rsidP="00E3439B">
            <w:pPr>
              <w:tabs>
                <w:tab w:val="left" w:pos="2198"/>
              </w:tabs>
              <w:jc w:val="both"/>
              <w:rPr>
                <w:rFonts w:ascii="Times New Roman" w:hAnsi="Times New Roman" w:cs="Times New Roman"/>
                <w:sz w:val="20"/>
                <w:szCs w:val="20"/>
              </w:rPr>
            </w:pPr>
            <w:r w:rsidRPr="00E3439B">
              <w:rPr>
                <w:rFonts w:ascii="Times New Roman" w:hAnsi="Times New Roman" w:cs="Times New Roman"/>
                <w:sz w:val="20"/>
                <w:szCs w:val="20"/>
              </w:rPr>
              <w:t>бр. проекти</w:t>
            </w:r>
          </w:p>
        </w:tc>
        <w:tc>
          <w:tcPr>
            <w:tcW w:w="94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98</w:t>
            </w:r>
          </w:p>
        </w:tc>
        <w:tc>
          <w:tcPr>
            <w:tcW w:w="105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28</w:t>
            </w:r>
          </w:p>
        </w:tc>
        <w:tc>
          <w:tcPr>
            <w:tcW w:w="1057"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173</w:t>
            </w:r>
          </w:p>
        </w:tc>
        <w:tc>
          <w:tcPr>
            <w:tcW w:w="1057"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53</w:t>
            </w:r>
          </w:p>
        </w:tc>
        <w:tc>
          <w:tcPr>
            <w:tcW w:w="1057"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24</w:t>
            </w:r>
          </w:p>
        </w:tc>
        <w:tc>
          <w:tcPr>
            <w:tcW w:w="911"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3</w:t>
            </w:r>
          </w:p>
        </w:tc>
        <w:tc>
          <w:tcPr>
            <w:tcW w:w="110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37</w:t>
            </w:r>
          </w:p>
        </w:tc>
        <w:tc>
          <w:tcPr>
            <w:tcW w:w="1577" w:type="dxa"/>
            <w:noWrap/>
            <w:hideMark/>
          </w:tcPr>
          <w:p w:rsidR="00E3439B" w:rsidRPr="00E3439B" w:rsidRDefault="00E3439B" w:rsidP="00E3439B">
            <w:pPr>
              <w:tabs>
                <w:tab w:val="left" w:pos="2198"/>
              </w:tabs>
              <w:rPr>
                <w:rFonts w:ascii="Times New Roman" w:hAnsi="Times New Roman" w:cs="Times New Roman"/>
                <w:b/>
                <w:sz w:val="20"/>
                <w:szCs w:val="20"/>
              </w:rPr>
            </w:pPr>
            <w:r w:rsidRPr="00E3439B">
              <w:rPr>
                <w:rFonts w:ascii="Times New Roman" w:hAnsi="Times New Roman" w:cs="Times New Roman"/>
                <w:b/>
                <w:sz w:val="20"/>
                <w:szCs w:val="20"/>
              </w:rPr>
              <w:t>416</w:t>
            </w:r>
          </w:p>
        </w:tc>
      </w:tr>
      <w:tr w:rsidR="00E3439B" w:rsidRPr="00E3439B" w:rsidTr="00B339F8">
        <w:trPr>
          <w:trHeight w:val="600"/>
        </w:trPr>
        <w:tc>
          <w:tcPr>
            <w:tcW w:w="1045" w:type="dxa"/>
            <w:hideMark/>
          </w:tcPr>
          <w:p w:rsidR="00E3439B" w:rsidRPr="00E3439B" w:rsidRDefault="00E3439B" w:rsidP="00E3439B">
            <w:pPr>
              <w:tabs>
                <w:tab w:val="left" w:pos="2198"/>
              </w:tabs>
              <w:jc w:val="both"/>
              <w:rPr>
                <w:rFonts w:ascii="Times New Roman" w:hAnsi="Times New Roman" w:cs="Times New Roman"/>
                <w:sz w:val="20"/>
                <w:szCs w:val="20"/>
              </w:rPr>
            </w:pPr>
            <w:r w:rsidRPr="00E3439B">
              <w:rPr>
                <w:rFonts w:ascii="Times New Roman" w:hAnsi="Times New Roman" w:cs="Times New Roman"/>
                <w:sz w:val="20"/>
                <w:szCs w:val="20"/>
              </w:rPr>
              <w:t>заявена субсидия</w:t>
            </w:r>
          </w:p>
        </w:tc>
        <w:tc>
          <w:tcPr>
            <w:tcW w:w="940" w:type="dxa"/>
            <w:noWrap/>
            <w:hideMark/>
          </w:tcPr>
          <w:p w:rsidR="00E3439B" w:rsidRPr="00E3439B" w:rsidRDefault="00E3439B" w:rsidP="00E3439B">
            <w:pPr>
              <w:tabs>
                <w:tab w:val="left" w:pos="2198"/>
              </w:tabs>
              <w:ind w:left="-139" w:right="-106"/>
              <w:rPr>
                <w:rFonts w:ascii="Times New Roman" w:hAnsi="Times New Roman" w:cs="Times New Roman"/>
                <w:sz w:val="20"/>
                <w:szCs w:val="20"/>
              </w:rPr>
            </w:pPr>
            <w:r w:rsidRPr="00E3439B">
              <w:rPr>
                <w:rFonts w:ascii="Times New Roman" w:hAnsi="Times New Roman" w:cs="Times New Roman"/>
                <w:sz w:val="20"/>
                <w:szCs w:val="20"/>
              </w:rPr>
              <w:t xml:space="preserve">  7 350 000.00 лв.</w:t>
            </w:r>
          </w:p>
        </w:tc>
        <w:tc>
          <w:tcPr>
            <w:tcW w:w="1050" w:type="dxa"/>
            <w:noWrap/>
            <w:hideMark/>
          </w:tcPr>
          <w:p w:rsidR="00E3439B" w:rsidRPr="00E3439B" w:rsidRDefault="00E3439B" w:rsidP="00E3439B">
            <w:pPr>
              <w:tabs>
                <w:tab w:val="left" w:pos="2198"/>
              </w:tabs>
              <w:ind w:right="-192"/>
              <w:rPr>
                <w:rFonts w:ascii="Times New Roman" w:hAnsi="Times New Roman" w:cs="Times New Roman"/>
                <w:sz w:val="20"/>
                <w:szCs w:val="20"/>
              </w:rPr>
            </w:pPr>
            <w:r w:rsidRPr="00E3439B">
              <w:rPr>
                <w:rFonts w:ascii="Times New Roman" w:hAnsi="Times New Roman" w:cs="Times New Roman"/>
                <w:sz w:val="20"/>
                <w:szCs w:val="20"/>
              </w:rPr>
              <w:t>2 800 000.00 лв.</w:t>
            </w:r>
          </w:p>
        </w:tc>
        <w:tc>
          <w:tcPr>
            <w:tcW w:w="1057" w:type="dxa"/>
            <w:noWrap/>
            <w:hideMark/>
          </w:tcPr>
          <w:p w:rsidR="00E3439B" w:rsidRPr="00E3439B" w:rsidRDefault="00E3439B" w:rsidP="00E3439B">
            <w:pPr>
              <w:tabs>
                <w:tab w:val="left" w:pos="2198"/>
              </w:tabs>
              <w:ind w:right="-128"/>
              <w:rPr>
                <w:rFonts w:ascii="Times New Roman" w:hAnsi="Times New Roman" w:cs="Times New Roman"/>
                <w:sz w:val="20"/>
                <w:szCs w:val="20"/>
              </w:rPr>
            </w:pPr>
            <w:r w:rsidRPr="00E3439B">
              <w:rPr>
                <w:rFonts w:ascii="Times New Roman" w:hAnsi="Times New Roman" w:cs="Times New Roman"/>
                <w:sz w:val="20"/>
                <w:szCs w:val="20"/>
              </w:rPr>
              <w:t>15 570 000.00 лв.</w:t>
            </w:r>
          </w:p>
        </w:tc>
        <w:tc>
          <w:tcPr>
            <w:tcW w:w="1057" w:type="dxa"/>
            <w:noWrap/>
            <w:hideMark/>
          </w:tcPr>
          <w:p w:rsidR="00E3439B" w:rsidRPr="00E3439B" w:rsidRDefault="00E3439B" w:rsidP="00E3439B">
            <w:pPr>
              <w:tabs>
                <w:tab w:val="left" w:pos="2198"/>
              </w:tabs>
              <w:ind w:right="-205"/>
              <w:rPr>
                <w:rFonts w:ascii="Times New Roman" w:hAnsi="Times New Roman" w:cs="Times New Roman"/>
                <w:sz w:val="20"/>
                <w:szCs w:val="20"/>
              </w:rPr>
            </w:pPr>
            <w:r w:rsidRPr="00E3439B">
              <w:rPr>
                <w:rFonts w:ascii="Times New Roman" w:hAnsi="Times New Roman" w:cs="Times New Roman"/>
                <w:sz w:val="20"/>
                <w:szCs w:val="20"/>
              </w:rPr>
              <w:t>10 600 000.00 лв.</w:t>
            </w:r>
          </w:p>
        </w:tc>
        <w:tc>
          <w:tcPr>
            <w:tcW w:w="1057"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2 160 000.00 лв.</w:t>
            </w:r>
          </w:p>
        </w:tc>
        <w:tc>
          <w:tcPr>
            <w:tcW w:w="911" w:type="dxa"/>
            <w:noWrap/>
            <w:hideMark/>
          </w:tcPr>
          <w:p w:rsidR="00E3439B" w:rsidRPr="00E3439B" w:rsidRDefault="00E3439B" w:rsidP="00E3439B">
            <w:pPr>
              <w:tabs>
                <w:tab w:val="left" w:pos="2198"/>
              </w:tabs>
              <w:ind w:right="-76"/>
              <w:rPr>
                <w:rFonts w:ascii="Times New Roman" w:hAnsi="Times New Roman" w:cs="Times New Roman"/>
                <w:sz w:val="20"/>
                <w:szCs w:val="20"/>
              </w:rPr>
            </w:pPr>
            <w:r w:rsidRPr="00E3439B">
              <w:rPr>
                <w:rFonts w:ascii="Times New Roman" w:hAnsi="Times New Roman" w:cs="Times New Roman"/>
                <w:sz w:val="20"/>
                <w:szCs w:val="20"/>
              </w:rPr>
              <w:t>200 000.00 лв.</w:t>
            </w:r>
          </w:p>
        </w:tc>
        <w:tc>
          <w:tcPr>
            <w:tcW w:w="110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887 000.00 лв.</w:t>
            </w:r>
          </w:p>
        </w:tc>
        <w:tc>
          <w:tcPr>
            <w:tcW w:w="1577"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39 567 000.00 лв.</w:t>
            </w:r>
          </w:p>
        </w:tc>
      </w:tr>
    </w:tbl>
    <w:p w:rsidR="00E3439B" w:rsidRPr="00E3439B" w:rsidRDefault="00E3439B" w:rsidP="00E3439B">
      <w:pPr>
        <w:tabs>
          <w:tab w:val="left" w:pos="2198"/>
        </w:tabs>
        <w:spacing w:after="0" w:line="240" w:lineRule="auto"/>
        <w:jc w:val="both"/>
        <w:rPr>
          <w:rFonts w:ascii="Times New Roman" w:hAnsi="Times New Roman" w:cs="Times New Roman"/>
          <w:b/>
          <w:sz w:val="20"/>
          <w:szCs w:val="20"/>
        </w:rPr>
      </w:pPr>
      <w:r w:rsidRPr="00E3439B">
        <w:rPr>
          <w:rFonts w:ascii="Times New Roman" w:hAnsi="Times New Roman" w:cs="Times New Roman"/>
          <w:b/>
          <w:sz w:val="20"/>
          <w:szCs w:val="20"/>
        </w:rPr>
        <w:t>2. План за действие за преодоляване на забавената обработка на процедурите и проектните предложения.</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2.1. Промяна на правилника за работа на Дирекция „Договориране по прилагане на мерките за развитие на селските райони“, отдел „Водени от общностите местно развитие“</w:t>
      </w:r>
      <w:r w:rsidRPr="00E3439B">
        <w:rPr>
          <w:rFonts w:ascii="Times New Roman" w:hAnsi="Times New Roman" w:cs="Times New Roman"/>
          <w:sz w:val="20"/>
          <w:szCs w:val="20"/>
          <w:lang w:val="en-US"/>
        </w:rPr>
        <w:t>:</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 всички проектни предложения се обработват от един отдел „ПСВОМР“ с подкрепата на служители от Областните дирекции на ДФ „Земеделие“, на които ще бъдат възложени допълнителни задачи.</w:t>
      </w:r>
    </w:p>
    <w:p w:rsidR="00E3439B" w:rsidRPr="00E3439B" w:rsidRDefault="00E3439B" w:rsidP="00E3439B">
      <w:pPr>
        <w:tabs>
          <w:tab w:val="left" w:pos="2198"/>
        </w:tabs>
        <w:spacing w:after="0" w:line="240" w:lineRule="auto"/>
        <w:ind w:firstLine="708"/>
        <w:jc w:val="both"/>
        <w:rPr>
          <w:rFonts w:ascii="Times New Roman" w:hAnsi="Times New Roman" w:cs="Times New Roman"/>
          <w:sz w:val="20"/>
          <w:szCs w:val="20"/>
        </w:rPr>
      </w:pPr>
      <w:r w:rsidRPr="00E3439B">
        <w:rPr>
          <w:rFonts w:ascii="Times New Roman" w:hAnsi="Times New Roman" w:cs="Times New Roman"/>
          <w:sz w:val="20"/>
          <w:szCs w:val="20"/>
        </w:rPr>
        <w:t>Промяната в правилника е изготвена на 23.06.2021 г. и е предадена за съгласуване в Дирекция „Правна“. На 28.6.2021г. промяната в правилника на дирекция ДПМРСР, ще бъде изпратена за акредитация в Управляващия орган на ПРСР и Дирекция Наблюдение, координация и контрол на дейността на Разплащателната агенция в МЗХГ.</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2.2 Извършване на контрол върху доклади от приключили</w:t>
      </w:r>
      <w:r w:rsidRPr="00E3439B">
        <w:rPr>
          <w:rFonts w:ascii="Times New Roman" w:hAnsi="Times New Roman" w:cs="Times New Roman"/>
          <w:b/>
          <w:sz w:val="20"/>
          <w:szCs w:val="20"/>
        </w:rPr>
        <w:t xml:space="preserve"> </w:t>
      </w:r>
      <w:r w:rsidRPr="00E3439B">
        <w:rPr>
          <w:rFonts w:ascii="Times New Roman" w:hAnsi="Times New Roman" w:cs="Times New Roman"/>
          <w:sz w:val="20"/>
          <w:szCs w:val="20"/>
        </w:rPr>
        <w:t xml:space="preserve">Процедури по различните </w:t>
      </w:r>
      <w:proofErr w:type="spellStart"/>
      <w:r w:rsidRPr="00E3439B">
        <w:rPr>
          <w:rFonts w:ascii="Times New Roman" w:hAnsi="Times New Roman" w:cs="Times New Roman"/>
          <w:sz w:val="20"/>
          <w:szCs w:val="20"/>
        </w:rPr>
        <w:t>подмерки</w:t>
      </w:r>
      <w:proofErr w:type="spellEnd"/>
      <w:r w:rsidRPr="00E3439B">
        <w:rPr>
          <w:rFonts w:ascii="Times New Roman" w:hAnsi="Times New Roman" w:cs="Times New Roman"/>
          <w:sz w:val="20"/>
          <w:szCs w:val="20"/>
        </w:rPr>
        <w:t xml:space="preserve"> от стратегиите за ВОМР на МИГ:</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 xml:space="preserve">До 30.09. 2021 г. ще се обработят всички 107 забавени процедури. </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Анализ на необходимото време за обработка на постъпилите процедури през МИГ:</w:t>
      </w:r>
    </w:p>
    <w:tbl>
      <w:tblPr>
        <w:tblStyle w:val="TableGrid"/>
        <w:tblW w:w="0" w:type="auto"/>
        <w:tblLook w:val="04A0" w:firstRow="1" w:lastRow="0" w:firstColumn="1" w:lastColumn="0" w:noHBand="0" w:noVBand="1"/>
      </w:tblPr>
      <w:tblGrid>
        <w:gridCol w:w="2070"/>
        <w:gridCol w:w="1030"/>
        <w:gridCol w:w="1030"/>
        <w:gridCol w:w="1078"/>
        <w:gridCol w:w="1030"/>
        <w:gridCol w:w="1030"/>
        <w:gridCol w:w="1174"/>
        <w:gridCol w:w="709"/>
      </w:tblGrid>
      <w:tr w:rsidR="00E3439B" w:rsidRPr="00E3439B" w:rsidTr="00B339F8">
        <w:trPr>
          <w:trHeight w:val="300"/>
        </w:trPr>
        <w:tc>
          <w:tcPr>
            <w:tcW w:w="2070" w:type="dxa"/>
            <w:noWrap/>
            <w:hideMark/>
          </w:tcPr>
          <w:p w:rsidR="00E3439B" w:rsidRPr="00E3439B" w:rsidRDefault="00E3439B" w:rsidP="00E3439B">
            <w:pPr>
              <w:tabs>
                <w:tab w:val="left" w:pos="2198"/>
              </w:tabs>
              <w:jc w:val="both"/>
              <w:rPr>
                <w:rFonts w:ascii="Times New Roman" w:hAnsi="Times New Roman" w:cs="Times New Roman"/>
                <w:sz w:val="20"/>
                <w:szCs w:val="20"/>
              </w:rPr>
            </w:pPr>
            <w:r w:rsidRPr="00E3439B">
              <w:rPr>
                <w:rFonts w:ascii="Times New Roman" w:hAnsi="Times New Roman" w:cs="Times New Roman"/>
                <w:sz w:val="20"/>
                <w:szCs w:val="20"/>
              </w:rPr>
              <w:t> </w:t>
            </w:r>
          </w:p>
        </w:tc>
        <w:tc>
          <w:tcPr>
            <w:tcW w:w="975" w:type="dxa"/>
            <w:noWrap/>
            <w:hideMark/>
          </w:tcPr>
          <w:p w:rsidR="00E3439B" w:rsidRPr="00E3439B" w:rsidRDefault="00E3439B" w:rsidP="00E3439B">
            <w:pPr>
              <w:tabs>
                <w:tab w:val="left" w:pos="2198"/>
              </w:tabs>
              <w:ind w:right="-155"/>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4.1</w:t>
            </w:r>
          </w:p>
        </w:tc>
        <w:tc>
          <w:tcPr>
            <w:tcW w:w="975" w:type="dxa"/>
            <w:noWrap/>
            <w:hideMark/>
          </w:tcPr>
          <w:p w:rsidR="00E3439B" w:rsidRPr="00E3439B" w:rsidRDefault="00E3439B" w:rsidP="00E3439B">
            <w:pPr>
              <w:tabs>
                <w:tab w:val="left" w:pos="2198"/>
              </w:tabs>
              <w:ind w:right="-194"/>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4.2</w:t>
            </w:r>
          </w:p>
        </w:tc>
        <w:tc>
          <w:tcPr>
            <w:tcW w:w="1078" w:type="dxa"/>
            <w:noWrap/>
            <w:hideMark/>
          </w:tcPr>
          <w:p w:rsidR="00E3439B" w:rsidRPr="00E3439B" w:rsidRDefault="00E3439B" w:rsidP="00E3439B">
            <w:pPr>
              <w:tabs>
                <w:tab w:val="left" w:pos="2198"/>
              </w:tabs>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6.4.1</w:t>
            </w:r>
          </w:p>
        </w:tc>
        <w:tc>
          <w:tcPr>
            <w:tcW w:w="975" w:type="dxa"/>
            <w:noWrap/>
            <w:hideMark/>
          </w:tcPr>
          <w:p w:rsidR="00E3439B" w:rsidRPr="00E3439B" w:rsidRDefault="00E3439B" w:rsidP="00E3439B">
            <w:pPr>
              <w:tabs>
                <w:tab w:val="left" w:pos="2198"/>
              </w:tabs>
              <w:ind w:right="-169"/>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7.2</w:t>
            </w:r>
          </w:p>
        </w:tc>
        <w:tc>
          <w:tcPr>
            <w:tcW w:w="975" w:type="dxa"/>
            <w:noWrap/>
            <w:hideMark/>
          </w:tcPr>
          <w:p w:rsidR="00E3439B" w:rsidRPr="00E3439B" w:rsidRDefault="00E3439B" w:rsidP="00E3439B">
            <w:pPr>
              <w:tabs>
                <w:tab w:val="left" w:pos="2198"/>
              </w:tabs>
              <w:ind w:right="-133"/>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7.5</w:t>
            </w:r>
          </w:p>
        </w:tc>
        <w:tc>
          <w:tcPr>
            <w:tcW w:w="1174" w:type="dxa"/>
            <w:noWrap/>
            <w:hideMark/>
          </w:tcPr>
          <w:p w:rsidR="00E3439B" w:rsidRPr="00E3439B" w:rsidRDefault="00E3439B" w:rsidP="00E3439B">
            <w:pPr>
              <w:tabs>
                <w:tab w:val="left" w:pos="2198"/>
              </w:tabs>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7.6</w:t>
            </w:r>
          </w:p>
        </w:tc>
        <w:tc>
          <w:tcPr>
            <w:tcW w:w="709" w:type="dxa"/>
            <w:noWrap/>
            <w:hideMark/>
          </w:tcPr>
          <w:p w:rsidR="00E3439B" w:rsidRPr="00E3439B" w:rsidRDefault="00E3439B" w:rsidP="00E3439B">
            <w:pPr>
              <w:tabs>
                <w:tab w:val="left" w:pos="2198"/>
              </w:tabs>
              <w:ind w:right="-113"/>
              <w:jc w:val="both"/>
              <w:rPr>
                <w:rFonts w:ascii="Times New Roman" w:hAnsi="Times New Roman" w:cs="Times New Roman"/>
                <w:sz w:val="20"/>
                <w:szCs w:val="20"/>
              </w:rPr>
            </w:pPr>
            <w:r w:rsidRPr="00E3439B">
              <w:rPr>
                <w:rFonts w:ascii="Times New Roman" w:hAnsi="Times New Roman" w:cs="Times New Roman"/>
                <w:sz w:val="20"/>
                <w:szCs w:val="20"/>
              </w:rPr>
              <w:t>други</w:t>
            </w:r>
          </w:p>
        </w:tc>
      </w:tr>
      <w:tr w:rsidR="00E3439B" w:rsidRPr="00E3439B" w:rsidTr="00B339F8">
        <w:trPr>
          <w:trHeight w:val="600"/>
        </w:trPr>
        <w:tc>
          <w:tcPr>
            <w:tcW w:w="2070" w:type="dxa"/>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време за обработка до уведомително писмо в дни</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5</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5</w:t>
            </w:r>
          </w:p>
        </w:tc>
        <w:tc>
          <w:tcPr>
            <w:tcW w:w="1078"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8</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1174"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709"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r>
      <w:tr w:rsidR="00E3439B" w:rsidRPr="00E3439B" w:rsidTr="00B339F8">
        <w:trPr>
          <w:trHeight w:val="600"/>
        </w:trPr>
        <w:tc>
          <w:tcPr>
            <w:tcW w:w="2070" w:type="dxa"/>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време за обработка след получен отговор до писмо за одобрение в дни</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5</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5</w:t>
            </w:r>
          </w:p>
        </w:tc>
        <w:tc>
          <w:tcPr>
            <w:tcW w:w="1078"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8</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1174"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709"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r>
      <w:tr w:rsidR="00E3439B" w:rsidRPr="00E3439B" w:rsidTr="00B339F8">
        <w:trPr>
          <w:trHeight w:val="300"/>
        </w:trPr>
        <w:tc>
          <w:tcPr>
            <w:tcW w:w="2070"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време за сключване на договор в дни</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1078"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1174"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709"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r>
      <w:tr w:rsidR="00E3439B" w:rsidRPr="00E3439B" w:rsidTr="00B339F8">
        <w:trPr>
          <w:trHeight w:val="300"/>
        </w:trPr>
        <w:tc>
          <w:tcPr>
            <w:tcW w:w="2070" w:type="dxa"/>
            <w:noWrap/>
            <w:hideMark/>
          </w:tcPr>
          <w:p w:rsidR="00E3439B" w:rsidRPr="00E3439B" w:rsidRDefault="00E3439B" w:rsidP="00E3439B">
            <w:pPr>
              <w:tabs>
                <w:tab w:val="left" w:pos="2198"/>
              </w:tabs>
              <w:jc w:val="right"/>
              <w:rPr>
                <w:rFonts w:ascii="Times New Roman" w:hAnsi="Times New Roman" w:cs="Times New Roman"/>
                <w:sz w:val="20"/>
                <w:szCs w:val="20"/>
              </w:rPr>
            </w:pPr>
            <w:r w:rsidRPr="00E3439B">
              <w:rPr>
                <w:rFonts w:ascii="Times New Roman" w:hAnsi="Times New Roman" w:cs="Times New Roman"/>
                <w:sz w:val="20"/>
                <w:szCs w:val="20"/>
              </w:rPr>
              <w:t> общо работни дни:</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12</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12</w:t>
            </w:r>
          </w:p>
        </w:tc>
        <w:tc>
          <w:tcPr>
            <w:tcW w:w="1078"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18</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10</w:t>
            </w:r>
          </w:p>
        </w:tc>
        <w:tc>
          <w:tcPr>
            <w:tcW w:w="975"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10</w:t>
            </w:r>
          </w:p>
        </w:tc>
        <w:tc>
          <w:tcPr>
            <w:tcW w:w="1174"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10</w:t>
            </w:r>
          </w:p>
        </w:tc>
        <w:tc>
          <w:tcPr>
            <w:tcW w:w="709"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10</w:t>
            </w:r>
          </w:p>
        </w:tc>
      </w:tr>
    </w:tbl>
    <w:p w:rsidR="00E3439B" w:rsidRPr="00E3439B" w:rsidRDefault="00E3439B" w:rsidP="00E3439B">
      <w:pPr>
        <w:tabs>
          <w:tab w:val="left" w:pos="2198"/>
        </w:tabs>
        <w:spacing w:after="0" w:line="240" w:lineRule="auto"/>
        <w:jc w:val="both"/>
        <w:rPr>
          <w:rFonts w:ascii="Times New Roman" w:hAnsi="Times New Roman" w:cs="Times New Roman"/>
          <w:sz w:val="20"/>
          <w:szCs w:val="20"/>
        </w:rPr>
      </w:pP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 Мерки за преодоляване на забавата: обособяват се общо 47 работни екипа от отдел „ПСМП“ на ОД на ДФ Земеделие или общо 94 служители, които ще бъдат координирани от отдел „ПСВОМР“ в ЦУ.</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2.3. Разглеждане и оценка на проектни предложения, които са част от одобрените процедури на стратегиите за ВОМР на МИГ.</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До 15.10.2021 г. ще се разгледат и оценят всички 416 забавени проектни предложения:</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Анализ на необходимото време за обработка на проектните предложения постъпили през МИГ:</w:t>
      </w:r>
    </w:p>
    <w:tbl>
      <w:tblPr>
        <w:tblStyle w:val="TableGrid"/>
        <w:tblW w:w="0" w:type="auto"/>
        <w:tblLook w:val="04A0" w:firstRow="1" w:lastRow="0" w:firstColumn="1" w:lastColumn="0" w:noHBand="0" w:noVBand="1"/>
      </w:tblPr>
      <w:tblGrid>
        <w:gridCol w:w="2333"/>
        <w:gridCol w:w="1030"/>
        <w:gridCol w:w="1030"/>
        <w:gridCol w:w="1030"/>
        <w:gridCol w:w="1030"/>
        <w:gridCol w:w="1030"/>
        <w:gridCol w:w="1030"/>
        <w:gridCol w:w="707"/>
      </w:tblGrid>
      <w:tr w:rsidR="00E3439B" w:rsidRPr="00E3439B" w:rsidTr="00B339F8">
        <w:trPr>
          <w:trHeight w:val="570"/>
        </w:trPr>
        <w:tc>
          <w:tcPr>
            <w:tcW w:w="2333" w:type="dxa"/>
            <w:noWrap/>
            <w:hideMark/>
          </w:tcPr>
          <w:p w:rsidR="00E3439B" w:rsidRPr="00E3439B" w:rsidRDefault="00E3439B" w:rsidP="00E3439B">
            <w:pPr>
              <w:tabs>
                <w:tab w:val="left" w:pos="2198"/>
              </w:tabs>
              <w:jc w:val="both"/>
              <w:rPr>
                <w:rFonts w:ascii="Times New Roman" w:hAnsi="Times New Roman" w:cs="Times New Roman"/>
                <w:sz w:val="20"/>
                <w:szCs w:val="20"/>
              </w:rPr>
            </w:pPr>
            <w:r w:rsidRPr="00E3439B">
              <w:rPr>
                <w:rFonts w:ascii="Times New Roman" w:hAnsi="Times New Roman" w:cs="Times New Roman"/>
                <w:sz w:val="20"/>
                <w:szCs w:val="20"/>
              </w:rPr>
              <w:t> </w:t>
            </w:r>
          </w:p>
        </w:tc>
        <w:tc>
          <w:tcPr>
            <w:tcW w:w="1006" w:type="dxa"/>
            <w:hideMark/>
          </w:tcPr>
          <w:p w:rsidR="00E3439B" w:rsidRPr="00E3439B" w:rsidRDefault="00E3439B" w:rsidP="00E3439B">
            <w:pPr>
              <w:tabs>
                <w:tab w:val="left" w:pos="2198"/>
              </w:tabs>
              <w:ind w:right="-211"/>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4.1</w:t>
            </w:r>
          </w:p>
        </w:tc>
        <w:tc>
          <w:tcPr>
            <w:tcW w:w="1006" w:type="dxa"/>
            <w:hideMark/>
          </w:tcPr>
          <w:p w:rsidR="00E3439B" w:rsidRPr="00E3439B" w:rsidRDefault="00E3439B" w:rsidP="00E3439B">
            <w:pPr>
              <w:tabs>
                <w:tab w:val="left" w:pos="2198"/>
              </w:tabs>
              <w:ind w:right="-150"/>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4.2</w:t>
            </w:r>
          </w:p>
        </w:tc>
        <w:tc>
          <w:tcPr>
            <w:tcW w:w="1006" w:type="dxa"/>
            <w:hideMark/>
          </w:tcPr>
          <w:p w:rsidR="00E3439B" w:rsidRPr="00E3439B" w:rsidRDefault="00E3439B" w:rsidP="00E3439B">
            <w:pPr>
              <w:tabs>
                <w:tab w:val="left" w:pos="2198"/>
              </w:tabs>
              <w:ind w:right="-18"/>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6.4.1</w:t>
            </w:r>
          </w:p>
        </w:tc>
        <w:tc>
          <w:tcPr>
            <w:tcW w:w="1006" w:type="dxa"/>
            <w:hideMark/>
          </w:tcPr>
          <w:p w:rsidR="00E3439B" w:rsidRPr="00E3439B" w:rsidRDefault="00E3439B" w:rsidP="00E3439B">
            <w:pPr>
              <w:tabs>
                <w:tab w:val="left" w:pos="2198"/>
              </w:tabs>
              <w:ind w:right="-143"/>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7.2</w:t>
            </w:r>
          </w:p>
        </w:tc>
        <w:tc>
          <w:tcPr>
            <w:tcW w:w="1006" w:type="dxa"/>
            <w:hideMark/>
          </w:tcPr>
          <w:p w:rsidR="00E3439B" w:rsidRPr="00E3439B" w:rsidRDefault="00E3439B" w:rsidP="00E3439B">
            <w:pPr>
              <w:tabs>
                <w:tab w:val="left" w:pos="2198"/>
              </w:tabs>
              <w:ind w:right="-124"/>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7.5</w:t>
            </w:r>
          </w:p>
        </w:tc>
        <w:tc>
          <w:tcPr>
            <w:tcW w:w="1006" w:type="dxa"/>
            <w:hideMark/>
          </w:tcPr>
          <w:p w:rsidR="00E3439B" w:rsidRPr="00E3439B" w:rsidRDefault="00E3439B" w:rsidP="00E3439B">
            <w:pPr>
              <w:tabs>
                <w:tab w:val="left" w:pos="2198"/>
              </w:tabs>
              <w:ind w:right="-99"/>
              <w:jc w:val="both"/>
              <w:rPr>
                <w:rFonts w:ascii="Times New Roman" w:hAnsi="Times New Roman" w:cs="Times New Roman"/>
                <w:sz w:val="20"/>
                <w:szCs w:val="20"/>
              </w:rPr>
            </w:pP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7.6</w:t>
            </w:r>
          </w:p>
        </w:tc>
        <w:tc>
          <w:tcPr>
            <w:tcW w:w="693" w:type="dxa"/>
            <w:hideMark/>
          </w:tcPr>
          <w:p w:rsidR="00E3439B" w:rsidRPr="00E3439B" w:rsidRDefault="00E3439B" w:rsidP="00E3439B">
            <w:pPr>
              <w:tabs>
                <w:tab w:val="left" w:pos="2198"/>
              </w:tabs>
              <w:ind w:right="-113"/>
              <w:jc w:val="both"/>
              <w:rPr>
                <w:rFonts w:ascii="Times New Roman" w:hAnsi="Times New Roman" w:cs="Times New Roman"/>
                <w:sz w:val="20"/>
                <w:szCs w:val="20"/>
              </w:rPr>
            </w:pPr>
            <w:r w:rsidRPr="00E3439B">
              <w:rPr>
                <w:rFonts w:ascii="Times New Roman" w:hAnsi="Times New Roman" w:cs="Times New Roman"/>
                <w:sz w:val="20"/>
                <w:szCs w:val="20"/>
              </w:rPr>
              <w:t>други</w:t>
            </w:r>
          </w:p>
        </w:tc>
      </w:tr>
      <w:tr w:rsidR="00E3439B" w:rsidRPr="00E3439B" w:rsidTr="00B339F8">
        <w:trPr>
          <w:trHeight w:val="600"/>
        </w:trPr>
        <w:tc>
          <w:tcPr>
            <w:tcW w:w="2333" w:type="dxa"/>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време за обработка до уведомително писмо в дни</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5</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7</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c>
          <w:tcPr>
            <w:tcW w:w="693"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4</w:t>
            </w:r>
          </w:p>
        </w:tc>
      </w:tr>
      <w:tr w:rsidR="00E3439B" w:rsidRPr="00E3439B" w:rsidTr="00B339F8">
        <w:trPr>
          <w:trHeight w:val="600"/>
        </w:trPr>
        <w:tc>
          <w:tcPr>
            <w:tcW w:w="2333" w:type="dxa"/>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време за обработка след получен отговор до писмо за одобрение в дни</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3</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3</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693"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r>
      <w:tr w:rsidR="00E3439B" w:rsidRPr="00E3439B" w:rsidTr="00B339F8">
        <w:trPr>
          <w:trHeight w:val="300"/>
        </w:trPr>
        <w:tc>
          <w:tcPr>
            <w:tcW w:w="2333"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време за сключване на договор в дни</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c>
          <w:tcPr>
            <w:tcW w:w="693"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2</w:t>
            </w:r>
          </w:p>
        </w:tc>
      </w:tr>
      <w:tr w:rsidR="00E3439B" w:rsidRPr="00E3439B" w:rsidTr="00B339F8">
        <w:trPr>
          <w:trHeight w:val="300"/>
        </w:trPr>
        <w:tc>
          <w:tcPr>
            <w:tcW w:w="2333" w:type="dxa"/>
            <w:noWrap/>
            <w:hideMark/>
          </w:tcPr>
          <w:p w:rsidR="00E3439B" w:rsidRPr="00E3439B" w:rsidRDefault="00E3439B" w:rsidP="00E3439B">
            <w:pPr>
              <w:tabs>
                <w:tab w:val="right" w:pos="2071"/>
                <w:tab w:val="left" w:pos="2198"/>
              </w:tabs>
              <w:jc w:val="both"/>
              <w:rPr>
                <w:rFonts w:ascii="Times New Roman" w:hAnsi="Times New Roman" w:cs="Times New Roman"/>
                <w:sz w:val="20"/>
                <w:szCs w:val="20"/>
              </w:rPr>
            </w:pPr>
            <w:r w:rsidRPr="00E3439B">
              <w:rPr>
                <w:rFonts w:ascii="Times New Roman" w:hAnsi="Times New Roman" w:cs="Times New Roman"/>
                <w:sz w:val="20"/>
                <w:szCs w:val="20"/>
              </w:rPr>
              <w:lastRenderedPageBreak/>
              <w:t> </w:t>
            </w:r>
            <w:r w:rsidRPr="00E3439B">
              <w:rPr>
                <w:rFonts w:ascii="Times New Roman" w:hAnsi="Times New Roman" w:cs="Times New Roman"/>
                <w:sz w:val="20"/>
                <w:szCs w:val="20"/>
              </w:rPr>
              <w:tab/>
              <w:t>общо работни дни:</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8</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10</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12</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8</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8</w:t>
            </w:r>
          </w:p>
        </w:tc>
        <w:tc>
          <w:tcPr>
            <w:tcW w:w="1006"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8</w:t>
            </w:r>
          </w:p>
        </w:tc>
        <w:tc>
          <w:tcPr>
            <w:tcW w:w="693" w:type="dxa"/>
            <w:noWrap/>
            <w:hideMark/>
          </w:tcPr>
          <w:p w:rsidR="00E3439B" w:rsidRPr="00E3439B" w:rsidRDefault="00E3439B" w:rsidP="00E3439B">
            <w:pPr>
              <w:tabs>
                <w:tab w:val="left" w:pos="2198"/>
              </w:tabs>
              <w:rPr>
                <w:rFonts w:ascii="Times New Roman" w:hAnsi="Times New Roman" w:cs="Times New Roman"/>
                <w:sz w:val="20"/>
                <w:szCs w:val="20"/>
              </w:rPr>
            </w:pPr>
            <w:r w:rsidRPr="00E3439B">
              <w:rPr>
                <w:rFonts w:ascii="Times New Roman" w:hAnsi="Times New Roman" w:cs="Times New Roman"/>
                <w:sz w:val="20"/>
                <w:szCs w:val="20"/>
              </w:rPr>
              <w:t>8</w:t>
            </w:r>
          </w:p>
        </w:tc>
      </w:tr>
    </w:tbl>
    <w:p w:rsidR="00E3439B" w:rsidRPr="00E3439B" w:rsidRDefault="00E3439B" w:rsidP="00E3439B">
      <w:pPr>
        <w:tabs>
          <w:tab w:val="left" w:pos="2198"/>
        </w:tabs>
        <w:spacing w:after="0" w:line="240" w:lineRule="auto"/>
        <w:jc w:val="both"/>
        <w:rPr>
          <w:rFonts w:ascii="Times New Roman" w:hAnsi="Times New Roman" w:cs="Times New Roman"/>
          <w:sz w:val="20"/>
          <w:szCs w:val="20"/>
        </w:rPr>
      </w:pP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 xml:space="preserve">- Мерки за преодоляване на забавата: </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Увеличава се административния капацитет, като се обособяват общо 76 работни екипа или общо 152 служители, които ще бъдат координирани от отдел „ПСВОМР“ в ЦУ:</w:t>
      </w:r>
    </w:p>
    <w:p w:rsidR="00E3439B" w:rsidRPr="00E3439B" w:rsidRDefault="00E3439B" w:rsidP="00E3439B">
      <w:pPr>
        <w:tabs>
          <w:tab w:val="left" w:pos="2198"/>
        </w:tabs>
        <w:spacing w:after="0" w:line="240" w:lineRule="auto"/>
        <w:ind w:firstLine="708"/>
        <w:jc w:val="both"/>
        <w:rPr>
          <w:rFonts w:ascii="Times New Roman" w:hAnsi="Times New Roman" w:cs="Times New Roman"/>
          <w:sz w:val="20"/>
          <w:szCs w:val="20"/>
        </w:rPr>
      </w:pPr>
      <w:r w:rsidRPr="00E3439B">
        <w:rPr>
          <w:rFonts w:ascii="Times New Roman" w:hAnsi="Times New Roman" w:cs="Times New Roman"/>
          <w:sz w:val="20"/>
          <w:szCs w:val="20"/>
        </w:rPr>
        <w:t>от отдел „ПСМП“ на ОД на ДФ Земеделие – 40 служители</w:t>
      </w:r>
    </w:p>
    <w:p w:rsidR="00E3439B" w:rsidRPr="00E3439B" w:rsidRDefault="00E3439B" w:rsidP="00E3439B">
      <w:pPr>
        <w:tabs>
          <w:tab w:val="left" w:pos="2198"/>
        </w:tabs>
        <w:spacing w:after="0" w:line="240" w:lineRule="auto"/>
        <w:ind w:firstLine="708"/>
        <w:jc w:val="both"/>
        <w:rPr>
          <w:rFonts w:ascii="Times New Roman" w:hAnsi="Times New Roman" w:cs="Times New Roman"/>
          <w:sz w:val="20"/>
          <w:szCs w:val="20"/>
        </w:rPr>
      </w:pPr>
      <w:r w:rsidRPr="00E3439B">
        <w:rPr>
          <w:rFonts w:ascii="Times New Roman" w:hAnsi="Times New Roman" w:cs="Times New Roman"/>
          <w:sz w:val="20"/>
          <w:szCs w:val="20"/>
        </w:rPr>
        <w:t>от отдел „РРА“ на ОД на ДФ „Земеделие“ – 112 служители</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r w:rsidRPr="00E3439B">
        <w:rPr>
          <w:rFonts w:ascii="Times New Roman" w:hAnsi="Times New Roman" w:cs="Times New Roman"/>
          <w:sz w:val="20"/>
          <w:szCs w:val="20"/>
        </w:rPr>
        <w:t>2.4.</w:t>
      </w:r>
      <w:r w:rsidRPr="00E3439B">
        <w:rPr>
          <w:rFonts w:ascii="Times New Roman" w:hAnsi="Times New Roman" w:cs="Times New Roman"/>
          <w:b/>
          <w:sz w:val="20"/>
          <w:szCs w:val="20"/>
        </w:rPr>
        <w:t xml:space="preserve"> </w:t>
      </w:r>
      <w:r w:rsidRPr="00E3439B">
        <w:rPr>
          <w:rFonts w:ascii="Times New Roman" w:hAnsi="Times New Roman" w:cs="Times New Roman"/>
          <w:sz w:val="20"/>
          <w:szCs w:val="20"/>
        </w:rPr>
        <w:t xml:space="preserve">До 30.06.2021 г. ще бъде издадена заповед за възлагане на задачи по </w:t>
      </w:r>
      <w:proofErr w:type="spellStart"/>
      <w:r w:rsidRPr="00E3439B">
        <w:rPr>
          <w:rFonts w:ascii="Times New Roman" w:hAnsi="Times New Roman" w:cs="Times New Roman"/>
          <w:sz w:val="20"/>
          <w:szCs w:val="20"/>
        </w:rPr>
        <w:t>подмярка</w:t>
      </w:r>
      <w:proofErr w:type="spellEnd"/>
      <w:r w:rsidRPr="00E3439B">
        <w:rPr>
          <w:rFonts w:ascii="Times New Roman" w:hAnsi="Times New Roman" w:cs="Times New Roman"/>
          <w:sz w:val="20"/>
          <w:szCs w:val="20"/>
        </w:rPr>
        <w:t xml:space="preserve"> 19.2 на 246 служители от отдел ПСМП и отдел РРА на ОД ДФЗ , които ще обработват забавените процедури и проектни предложения. 179 бр. служители до 06.07.2021 г. ще преминат обучение и тест по възложените им задачи.</w:t>
      </w:r>
    </w:p>
    <w:p w:rsidR="00E3439B" w:rsidRPr="00E3439B" w:rsidRDefault="00E3439B" w:rsidP="00E3439B">
      <w:pPr>
        <w:tabs>
          <w:tab w:val="left" w:pos="2198"/>
        </w:tabs>
        <w:spacing w:after="0" w:line="240" w:lineRule="auto"/>
        <w:jc w:val="both"/>
        <w:rPr>
          <w:rFonts w:ascii="Times New Roman" w:hAnsi="Times New Roman" w:cs="Times New Roman"/>
          <w:sz w:val="20"/>
          <w:szCs w:val="20"/>
        </w:rPr>
      </w:pPr>
    </w:p>
    <w:p w:rsidR="00E3439B" w:rsidRPr="00E3439B" w:rsidRDefault="00E3439B" w:rsidP="00E3439B">
      <w:pPr>
        <w:tabs>
          <w:tab w:val="left" w:pos="2198"/>
        </w:tabs>
        <w:spacing w:after="0" w:line="240" w:lineRule="auto"/>
        <w:jc w:val="both"/>
        <w:rPr>
          <w:rFonts w:ascii="Times New Roman" w:hAnsi="Times New Roman" w:cs="Times New Roman"/>
          <w:b/>
          <w:sz w:val="20"/>
          <w:szCs w:val="20"/>
        </w:rPr>
      </w:pPr>
      <w:r w:rsidRPr="00E3439B">
        <w:rPr>
          <w:rFonts w:ascii="Times New Roman" w:hAnsi="Times New Roman" w:cs="Times New Roman"/>
          <w:b/>
          <w:sz w:val="20"/>
          <w:szCs w:val="20"/>
        </w:rPr>
        <w:t>Резултати:</w:t>
      </w:r>
    </w:p>
    <w:p w:rsidR="00E3439B" w:rsidRPr="00E3439B" w:rsidRDefault="00E3439B" w:rsidP="00E3439B">
      <w:pPr>
        <w:tabs>
          <w:tab w:val="left" w:pos="2198"/>
        </w:tabs>
        <w:spacing w:after="0" w:line="240" w:lineRule="auto"/>
        <w:jc w:val="both"/>
        <w:rPr>
          <w:rFonts w:ascii="Times New Roman" w:hAnsi="Times New Roman" w:cs="Times New Roman"/>
          <w:b/>
          <w:sz w:val="20"/>
          <w:szCs w:val="20"/>
        </w:rPr>
      </w:pPr>
      <w:r w:rsidRPr="00E3439B">
        <w:rPr>
          <w:rFonts w:ascii="Times New Roman" w:hAnsi="Times New Roman" w:cs="Times New Roman"/>
          <w:b/>
          <w:sz w:val="20"/>
          <w:szCs w:val="20"/>
        </w:rPr>
        <w:t xml:space="preserve">До 30.09. 2021 г. ще се обработят всички 107 забавени процедури. </w:t>
      </w:r>
    </w:p>
    <w:p w:rsidR="00E3439B" w:rsidRDefault="00E3439B" w:rsidP="00E3439B">
      <w:pPr>
        <w:tabs>
          <w:tab w:val="left" w:pos="2198"/>
        </w:tabs>
        <w:spacing w:after="0" w:line="240" w:lineRule="auto"/>
        <w:jc w:val="both"/>
        <w:rPr>
          <w:rFonts w:ascii="Times New Roman" w:hAnsi="Times New Roman" w:cs="Times New Roman"/>
          <w:b/>
          <w:sz w:val="20"/>
          <w:szCs w:val="20"/>
        </w:rPr>
      </w:pPr>
      <w:r w:rsidRPr="00E3439B">
        <w:rPr>
          <w:rFonts w:ascii="Times New Roman" w:hAnsi="Times New Roman" w:cs="Times New Roman"/>
          <w:b/>
          <w:sz w:val="20"/>
          <w:szCs w:val="20"/>
        </w:rPr>
        <w:t>До 15.10.2021 г. ще се разгледат и оценят всички 416 забавени проектни предложения</w:t>
      </w:r>
    </w:p>
    <w:p w:rsidR="00E3439B" w:rsidRDefault="00E3439B" w:rsidP="00E3439B">
      <w:pPr>
        <w:tabs>
          <w:tab w:val="left" w:pos="2198"/>
        </w:tabs>
        <w:spacing w:after="0" w:line="240" w:lineRule="auto"/>
        <w:jc w:val="both"/>
        <w:rPr>
          <w:rFonts w:ascii="Times New Roman" w:hAnsi="Times New Roman" w:cs="Times New Roman"/>
          <w:b/>
          <w:sz w:val="20"/>
          <w:szCs w:val="20"/>
        </w:rPr>
      </w:pPr>
    </w:p>
    <w:p w:rsidR="00E3439B" w:rsidRPr="00E3439B" w:rsidRDefault="00E3439B" w:rsidP="00E3439B">
      <w:pPr>
        <w:tabs>
          <w:tab w:val="left" w:pos="2198"/>
        </w:tabs>
        <w:spacing w:after="0" w:line="240" w:lineRule="auto"/>
        <w:jc w:val="both"/>
        <w:rPr>
          <w:rFonts w:ascii="Times New Roman" w:hAnsi="Times New Roman" w:cs="Times New Roman"/>
          <w:b/>
          <w:sz w:val="20"/>
          <w:szCs w:val="20"/>
        </w:rPr>
      </w:pPr>
    </w:p>
    <w:p w:rsidR="00E3439B" w:rsidRPr="00E3439B" w:rsidRDefault="00E3439B" w:rsidP="00E3439B">
      <w:pPr>
        <w:spacing w:after="0" w:line="240" w:lineRule="auto"/>
        <w:jc w:val="center"/>
        <w:rPr>
          <w:rFonts w:ascii="Times New Roman" w:hAnsi="Times New Roman" w:cs="Times New Roman"/>
          <w:b/>
          <w:sz w:val="20"/>
          <w:szCs w:val="20"/>
          <w:u w:val="single"/>
        </w:rPr>
      </w:pPr>
      <w:r w:rsidRPr="00E3439B">
        <w:rPr>
          <w:rFonts w:ascii="Times New Roman" w:hAnsi="Times New Roman" w:cs="Times New Roman"/>
          <w:b/>
          <w:sz w:val="20"/>
          <w:szCs w:val="20"/>
          <w:u w:val="single"/>
        </w:rPr>
        <w:t>ПЛАН ЗА ДЕЙСТВИЕ</w:t>
      </w:r>
    </w:p>
    <w:p w:rsidR="00E3439B" w:rsidRPr="00E3439B" w:rsidRDefault="00E3439B" w:rsidP="00E3439B">
      <w:pPr>
        <w:spacing w:after="0" w:line="240" w:lineRule="auto"/>
        <w:jc w:val="center"/>
        <w:rPr>
          <w:rFonts w:ascii="Times New Roman" w:hAnsi="Times New Roman" w:cs="Times New Roman"/>
          <w:b/>
          <w:sz w:val="20"/>
          <w:szCs w:val="20"/>
          <w:u w:val="single"/>
        </w:rPr>
      </w:pPr>
      <w:r w:rsidRPr="00E3439B">
        <w:rPr>
          <w:rFonts w:ascii="Times New Roman" w:hAnsi="Times New Roman" w:cs="Times New Roman"/>
          <w:b/>
          <w:sz w:val="20"/>
          <w:szCs w:val="20"/>
          <w:u w:val="single"/>
        </w:rPr>
        <w:t>ЗА ПОДОБРЯВАНЕ НА ПУБЛИЧНОСТТА  И ПРОЗРАЧНОСТТА В РАБОТАТА НА ДИРЕКЦИИ „ДПМРСР“ И „ОППМРСР“ КЪМ ДФ „ЗЕМЕДЕЛИЕ“</w:t>
      </w:r>
    </w:p>
    <w:p w:rsidR="00E3439B" w:rsidRPr="00E3439B" w:rsidRDefault="00E3439B" w:rsidP="00E3439B">
      <w:pPr>
        <w:spacing w:after="0" w:line="240" w:lineRule="auto"/>
        <w:rPr>
          <w:rFonts w:ascii="Times New Roman" w:hAnsi="Times New Roman" w:cs="Times New Roman"/>
          <w:b/>
          <w:sz w:val="20"/>
          <w:szCs w:val="20"/>
          <w:u w:val="single"/>
        </w:rPr>
      </w:pPr>
    </w:p>
    <w:p w:rsidR="00E3439B" w:rsidRPr="00E3439B" w:rsidRDefault="00E3439B" w:rsidP="00E3439B">
      <w:pPr>
        <w:numPr>
          <w:ilvl w:val="0"/>
          <w:numId w:val="2"/>
        </w:numPr>
        <w:spacing w:after="0" w:line="240" w:lineRule="auto"/>
        <w:ind w:left="0" w:firstLine="426"/>
        <w:contextualSpacing/>
        <w:jc w:val="both"/>
        <w:rPr>
          <w:rFonts w:ascii="Times New Roman" w:hAnsi="Times New Roman" w:cs="Times New Roman"/>
          <w:b/>
          <w:sz w:val="20"/>
          <w:szCs w:val="20"/>
        </w:rPr>
      </w:pPr>
      <w:r w:rsidRPr="00E3439B">
        <w:rPr>
          <w:rFonts w:ascii="Times New Roman" w:hAnsi="Times New Roman" w:cs="Times New Roman"/>
          <w:b/>
          <w:sz w:val="20"/>
          <w:szCs w:val="20"/>
        </w:rPr>
        <w:t xml:space="preserve">Ще бъде публикувано „Ръководство на бенефициента“ на сайта на ДФ „Земеделие“ и </w:t>
      </w:r>
      <w:r w:rsidRPr="00E3439B">
        <w:rPr>
          <w:rFonts w:ascii="Times New Roman" w:hAnsi="Times New Roman" w:cs="Times New Roman"/>
          <w:b/>
          <w:sz w:val="20"/>
          <w:szCs w:val="20"/>
          <w:lang w:val="en-US"/>
        </w:rPr>
        <w:t>eufunds.bg.</w:t>
      </w:r>
    </w:p>
    <w:p w:rsidR="00E3439B" w:rsidRPr="00E3439B" w:rsidRDefault="00E3439B" w:rsidP="00E3439B">
      <w:pPr>
        <w:widowControl w:val="0"/>
        <w:autoSpaceDE w:val="0"/>
        <w:autoSpaceDN w:val="0"/>
        <w:spacing w:after="0" w:line="240" w:lineRule="auto"/>
        <w:ind w:right="374" w:firstLine="426"/>
        <w:jc w:val="both"/>
        <w:rPr>
          <w:rFonts w:ascii="Times New Roman" w:eastAsia="Verdana" w:hAnsi="Times New Roman" w:cs="Times New Roman"/>
          <w:sz w:val="20"/>
          <w:szCs w:val="20"/>
        </w:rPr>
      </w:pPr>
      <w:r w:rsidRPr="00E3439B">
        <w:rPr>
          <w:rFonts w:ascii="Times New Roman" w:eastAsia="Verdana" w:hAnsi="Times New Roman" w:cs="Times New Roman"/>
          <w:sz w:val="20"/>
          <w:szCs w:val="20"/>
        </w:rPr>
        <w:t>Ръководството е предназначено за бенефициентите, които изпълняват договори за безвъзмездна финансова помощ по Програма за развитие на селските райони 2014-2020 г. и има за задача да улесни бенефициентите чрез предоставяне на конкретна, синтезирана и систематизирана информация относно техните основни права и задължения, за да се осигури ефективно техническо и финансово изпълнение на договора за безвъзмездна финансова помощ (накратко договора).</w:t>
      </w:r>
    </w:p>
    <w:p w:rsidR="00E3439B" w:rsidRPr="00E3439B" w:rsidRDefault="00E3439B" w:rsidP="00E3439B">
      <w:pPr>
        <w:widowControl w:val="0"/>
        <w:autoSpaceDE w:val="0"/>
        <w:autoSpaceDN w:val="0"/>
        <w:spacing w:after="0" w:line="240" w:lineRule="auto"/>
        <w:ind w:right="374" w:firstLine="426"/>
        <w:jc w:val="both"/>
        <w:rPr>
          <w:rFonts w:ascii="Times New Roman" w:eastAsia="Verdana" w:hAnsi="Times New Roman" w:cs="Times New Roman"/>
          <w:sz w:val="16"/>
          <w:szCs w:val="16"/>
        </w:rPr>
      </w:pPr>
    </w:p>
    <w:p w:rsidR="00E3439B" w:rsidRPr="00E3439B" w:rsidRDefault="00E3439B" w:rsidP="00E3439B">
      <w:pPr>
        <w:widowControl w:val="0"/>
        <w:autoSpaceDE w:val="0"/>
        <w:autoSpaceDN w:val="0"/>
        <w:spacing w:after="0" w:line="240" w:lineRule="auto"/>
        <w:ind w:right="374" w:firstLine="426"/>
        <w:jc w:val="both"/>
        <w:rPr>
          <w:rFonts w:ascii="Times New Roman" w:eastAsia="Verdana" w:hAnsi="Times New Roman" w:cs="Times New Roman"/>
          <w:sz w:val="20"/>
          <w:szCs w:val="20"/>
        </w:rPr>
      </w:pPr>
      <w:r w:rsidRPr="00E3439B">
        <w:rPr>
          <w:rFonts w:ascii="Times New Roman" w:eastAsia="Verdana" w:hAnsi="Times New Roman" w:cs="Times New Roman"/>
          <w:sz w:val="20"/>
          <w:szCs w:val="20"/>
        </w:rPr>
        <w:t>Оперативното ръководството описва процедурите, които трябва да бъдат приложени от бенефициента, за да се осигури ефективно управление на договора за безвъзмездна финансова помощ, и се отнася до:</w:t>
      </w:r>
    </w:p>
    <w:p w:rsidR="00E3439B" w:rsidRPr="00E3439B" w:rsidRDefault="00E3439B" w:rsidP="00E3439B">
      <w:pPr>
        <w:widowControl w:val="0"/>
        <w:autoSpaceDE w:val="0"/>
        <w:autoSpaceDN w:val="0"/>
        <w:spacing w:after="0" w:line="240" w:lineRule="auto"/>
        <w:ind w:firstLine="426"/>
        <w:jc w:val="both"/>
        <w:rPr>
          <w:rFonts w:ascii="Times New Roman" w:eastAsia="Verdana" w:hAnsi="Times New Roman" w:cs="Times New Roman"/>
          <w:sz w:val="20"/>
          <w:szCs w:val="20"/>
        </w:rPr>
      </w:pPr>
      <w:r w:rsidRPr="00E3439B">
        <w:rPr>
          <w:rFonts w:ascii="Times New Roman" w:eastAsia="Verdana" w:hAnsi="Times New Roman" w:cs="Times New Roman"/>
          <w:noProof/>
          <w:sz w:val="20"/>
          <w:szCs w:val="20"/>
          <w:lang w:eastAsia="bg-BG"/>
        </w:rPr>
        <w:drawing>
          <wp:inline distT="0" distB="0" distL="0" distR="0">
            <wp:extent cx="144780" cy="126365"/>
            <wp:effectExtent l="0" t="0" r="0" b="0"/>
            <wp:docPr id="1"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144780" cy="126365"/>
                    </a:xfrm>
                    <a:prstGeom prst="rect">
                      <a:avLst/>
                    </a:prstGeom>
                  </pic:spPr>
                </pic:pic>
              </a:graphicData>
            </a:graphic>
          </wp:inline>
        </w:drawing>
      </w:r>
      <w:r w:rsidRPr="00E3439B">
        <w:rPr>
          <w:rFonts w:ascii="Times New Roman" w:eastAsia="Verdana" w:hAnsi="Times New Roman" w:cs="Times New Roman"/>
          <w:sz w:val="20"/>
          <w:szCs w:val="20"/>
        </w:rPr>
        <w:t xml:space="preserve"> </w:t>
      </w:r>
      <w:r w:rsidRPr="00E3439B">
        <w:rPr>
          <w:rFonts w:ascii="Times New Roman" w:eastAsia="Verdana" w:hAnsi="Times New Roman" w:cs="Times New Roman"/>
          <w:spacing w:val="17"/>
          <w:sz w:val="20"/>
          <w:szCs w:val="20"/>
        </w:rPr>
        <w:t xml:space="preserve"> </w:t>
      </w:r>
      <w:r w:rsidRPr="00E3439B">
        <w:rPr>
          <w:rFonts w:ascii="Times New Roman" w:eastAsia="Verdana" w:hAnsi="Times New Roman" w:cs="Times New Roman"/>
          <w:spacing w:val="-4"/>
          <w:sz w:val="20"/>
          <w:szCs w:val="20"/>
        </w:rPr>
        <w:t>Основни</w:t>
      </w:r>
      <w:r w:rsidRPr="00E3439B">
        <w:rPr>
          <w:rFonts w:ascii="Times New Roman" w:eastAsia="Verdana" w:hAnsi="Times New Roman" w:cs="Times New Roman"/>
          <w:spacing w:val="-7"/>
          <w:sz w:val="20"/>
          <w:szCs w:val="20"/>
        </w:rPr>
        <w:t xml:space="preserve"> </w:t>
      </w:r>
      <w:r w:rsidRPr="00E3439B">
        <w:rPr>
          <w:rFonts w:ascii="Times New Roman" w:eastAsia="Verdana" w:hAnsi="Times New Roman" w:cs="Times New Roman"/>
          <w:spacing w:val="-4"/>
          <w:sz w:val="20"/>
          <w:szCs w:val="20"/>
        </w:rPr>
        <w:t>стъпки</w:t>
      </w:r>
      <w:r w:rsidRPr="00E3439B">
        <w:rPr>
          <w:rFonts w:ascii="Times New Roman" w:eastAsia="Verdana" w:hAnsi="Times New Roman" w:cs="Times New Roman"/>
          <w:spacing w:val="-12"/>
          <w:sz w:val="20"/>
          <w:szCs w:val="20"/>
        </w:rPr>
        <w:t xml:space="preserve"> </w:t>
      </w:r>
      <w:r w:rsidRPr="00E3439B">
        <w:rPr>
          <w:rFonts w:ascii="Times New Roman" w:eastAsia="Verdana" w:hAnsi="Times New Roman" w:cs="Times New Roman"/>
          <w:spacing w:val="-4"/>
          <w:sz w:val="20"/>
          <w:szCs w:val="20"/>
        </w:rPr>
        <w:t>за</w:t>
      </w:r>
      <w:r w:rsidRPr="00E3439B">
        <w:rPr>
          <w:rFonts w:ascii="Times New Roman" w:eastAsia="Verdana" w:hAnsi="Times New Roman" w:cs="Times New Roman"/>
          <w:spacing w:val="-9"/>
          <w:sz w:val="20"/>
          <w:szCs w:val="20"/>
        </w:rPr>
        <w:t xml:space="preserve"> </w:t>
      </w:r>
      <w:r w:rsidRPr="00E3439B">
        <w:rPr>
          <w:rFonts w:ascii="Times New Roman" w:eastAsia="Verdana" w:hAnsi="Times New Roman" w:cs="Times New Roman"/>
          <w:spacing w:val="-4"/>
          <w:sz w:val="20"/>
          <w:szCs w:val="20"/>
        </w:rPr>
        <w:t>изпълнение</w:t>
      </w:r>
      <w:r w:rsidRPr="00E3439B">
        <w:rPr>
          <w:rFonts w:ascii="Times New Roman" w:eastAsia="Verdana" w:hAnsi="Times New Roman" w:cs="Times New Roman"/>
          <w:spacing w:val="-11"/>
          <w:sz w:val="20"/>
          <w:szCs w:val="20"/>
        </w:rPr>
        <w:t xml:space="preserve"> </w:t>
      </w:r>
      <w:r w:rsidRPr="00E3439B">
        <w:rPr>
          <w:rFonts w:ascii="Times New Roman" w:eastAsia="Verdana" w:hAnsi="Times New Roman" w:cs="Times New Roman"/>
          <w:spacing w:val="-4"/>
          <w:sz w:val="20"/>
          <w:szCs w:val="20"/>
        </w:rPr>
        <w:t>на</w:t>
      </w:r>
      <w:r w:rsidRPr="00E3439B">
        <w:rPr>
          <w:rFonts w:ascii="Times New Roman" w:eastAsia="Verdana" w:hAnsi="Times New Roman" w:cs="Times New Roman"/>
          <w:spacing w:val="-8"/>
          <w:sz w:val="20"/>
          <w:szCs w:val="20"/>
        </w:rPr>
        <w:t xml:space="preserve"> </w:t>
      </w:r>
      <w:r w:rsidRPr="00E3439B">
        <w:rPr>
          <w:rFonts w:ascii="Times New Roman" w:eastAsia="Verdana" w:hAnsi="Times New Roman" w:cs="Times New Roman"/>
          <w:spacing w:val="-4"/>
          <w:sz w:val="20"/>
          <w:szCs w:val="20"/>
        </w:rPr>
        <w:t>договорите</w:t>
      </w:r>
      <w:r w:rsidRPr="00E3439B">
        <w:rPr>
          <w:rFonts w:ascii="Times New Roman" w:eastAsia="Verdana" w:hAnsi="Times New Roman" w:cs="Times New Roman"/>
          <w:spacing w:val="-13"/>
          <w:sz w:val="20"/>
          <w:szCs w:val="20"/>
        </w:rPr>
        <w:t xml:space="preserve"> </w:t>
      </w:r>
      <w:r w:rsidRPr="00E3439B">
        <w:rPr>
          <w:rFonts w:ascii="Times New Roman" w:eastAsia="Verdana" w:hAnsi="Times New Roman" w:cs="Times New Roman"/>
          <w:spacing w:val="-4"/>
          <w:sz w:val="20"/>
          <w:szCs w:val="20"/>
        </w:rPr>
        <w:t>за</w:t>
      </w:r>
      <w:r w:rsidRPr="00E3439B">
        <w:rPr>
          <w:rFonts w:ascii="Times New Roman" w:eastAsia="Verdana" w:hAnsi="Times New Roman" w:cs="Times New Roman"/>
          <w:spacing w:val="-9"/>
          <w:sz w:val="20"/>
          <w:szCs w:val="20"/>
        </w:rPr>
        <w:t xml:space="preserve"> </w:t>
      </w:r>
      <w:r w:rsidRPr="00E3439B">
        <w:rPr>
          <w:rFonts w:ascii="Times New Roman" w:eastAsia="Verdana" w:hAnsi="Times New Roman" w:cs="Times New Roman"/>
          <w:spacing w:val="-4"/>
          <w:sz w:val="20"/>
          <w:szCs w:val="20"/>
        </w:rPr>
        <w:t>безвъзмездна</w:t>
      </w:r>
      <w:r w:rsidRPr="00E3439B">
        <w:rPr>
          <w:rFonts w:ascii="Times New Roman" w:eastAsia="Verdana" w:hAnsi="Times New Roman" w:cs="Times New Roman"/>
          <w:spacing w:val="-9"/>
          <w:sz w:val="20"/>
          <w:szCs w:val="20"/>
        </w:rPr>
        <w:t xml:space="preserve"> </w:t>
      </w:r>
      <w:r w:rsidRPr="00E3439B">
        <w:rPr>
          <w:rFonts w:ascii="Times New Roman" w:eastAsia="Verdana" w:hAnsi="Times New Roman" w:cs="Times New Roman"/>
          <w:spacing w:val="-3"/>
          <w:sz w:val="20"/>
          <w:szCs w:val="20"/>
        </w:rPr>
        <w:t>финансова</w:t>
      </w:r>
      <w:r w:rsidRPr="00E3439B">
        <w:rPr>
          <w:rFonts w:ascii="Times New Roman" w:eastAsia="Verdana" w:hAnsi="Times New Roman" w:cs="Times New Roman"/>
          <w:spacing w:val="-9"/>
          <w:sz w:val="20"/>
          <w:szCs w:val="20"/>
        </w:rPr>
        <w:t xml:space="preserve"> </w:t>
      </w:r>
      <w:r w:rsidRPr="00E3439B">
        <w:rPr>
          <w:rFonts w:ascii="Times New Roman" w:eastAsia="Verdana" w:hAnsi="Times New Roman" w:cs="Times New Roman"/>
          <w:spacing w:val="-3"/>
          <w:sz w:val="20"/>
          <w:szCs w:val="20"/>
        </w:rPr>
        <w:t>помощ;</w:t>
      </w:r>
    </w:p>
    <w:p w:rsidR="00E3439B" w:rsidRPr="00E3439B" w:rsidRDefault="00E3439B" w:rsidP="00E3439B">
      <w:pPr>
        <w:widowControl w:val="0"/>
        <w:autoSpaceDE w:val="0"/>
        <w:autoSpaceDN w:val="0"/>
        <w:spacing w:after="0" w:line="240" w:lineRule="auto"/>
        <w:ind w:firstLine="426"/>
        <w:jc w:val="both"/>
        <w:rPr>
          <w:rFonts w:ascii="Times New Roman" w:eastAsia="Verdana" w:hAnsi="Times New Roman" w:cs="Times New Roman"/>
          <w:sz w:val="20"/>
          <w:szCs w:val="20"/>
        </w:rPr>
      </w:pPr>
      <w:r w:rsidRPr="00E3439B">
        <w:rPr>
          <w:rFonts w:ascii="Times New Roman" w:eastAsia="Verdana" w:hAnsi="Times New Roman" w:cs="Times New Roman"/>
          <w:noProof/>
          <w:sz w:val="20"/>
          <w:szCs w:val="20"/>
          <w:lang w:eastAsia="bg-BG"/>
        </w:rPr>
        <w:drawing>
          <wp:inline distT="0" distB="0" distL="0" distR="0">
            <wp:extent cx="144780" cy="126364"/>
            <wp:effectExtent l="0" t="0" r="0" b="0"/>
            <wp:docPr id="2"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5" cstate="print"/>
                    <a:stretch>
                      <a:fillRect/>
                    </a:stretch>
                  </pic:blipFill>
                  <pic:spPr>
                    <a:xfrm>
                      <a:off x="0" y="0"/>
                      <a:ext cx="144780" cy="126364"/>
                    </a:xfrm>
                    <a:prstGeom prst="rect">
                      <a:avLst/>
                    </a:prstGeom>
                  </pic:spPr>
                </pic:pic>
              </a:graphicData>
            </a:graphic>
          </wp:inline>
        </w:drawing>
      </w:r>
      <w:r w:rsidRPr="00E3439B">
        <w:rPr>
          <w:rFonts w:ascii="Times New Roman" w:eastAsia="Verdana" w:hAnsi="Times New Roman" w:cs="Times New Roman"/>
          <w:sz w:val="20"/>
          <w:szCs w:val="20"/>
        </w:rPr>
        <w:t xml:space="preserve">  </w:t>
      </w:r>
      <w:r w:rsidRPr="00E3439B">
        <w:rPr>
          <w:rFonts w:ascii="Times New Roman" w:eastAsia="Verdana" w:hAnsi="Times New Roman" w:cs="Times New Roman"/>
          <w:spacing w:val="-23"/>
          <w:sz w:val="20"/>
          <w:szCs w:val="20"/>
        </w:rPr>
        <w:t xml:space="preserve"> </w:t>
      </w:r>
      <w:r w:rsidRPr="00E3439B">
        <w:rPr>
          <w:rFonts w:ascii="Times New Roman" w:eastAsia="Verdana" w:hAnsi="Times New Roman" w:cs="Times New Roman"/>
          <w:spacing w:val="-4"/>
          <w:sz w:val="20"/>
          <w:szCs w:val="20"/>
        </w:rPr>
        <w:t>Изменения</w:t>
      </w:r>
      <w:r w:rsidRPr="00E3439B">
        <w:rPr>
          <w:rFonts w:ascii="Times New Roman" w:eastAsia="Verdana" w:hAnsi="Times New Roman" w:cs="Times New Roman"/>
          <w:spacing w:val="-7"/>
          <w:sz w:val="20"/>
          <w:szCs w:val="20"/>
        </w:rPr>
        <w:t xml:space="preserve"> </w:t>
      </w:r>
      <w:r w:rsidRPr="00E3439B">
        <w:rPr>
          <w:rFonts w:ascii="Times New Roman" w:eastAsia="Verdana" w:hAnsi="Times New Roman" w:cs="Times New Roman"/>
          <w:spacing w:val="-4"/>
          <w:sz w:val="20"/>
          <w:szCs w:val="20"/>
        </w:rPr>
        <w:t>в</w:t>
      </w:r>
      <w:r w:rsidRPr="00E3439B">
        <w:rPr>
          <w:rFonts w:ascii="Times New Roman" w:eastAsia="Verdana" w:hAnsi="Times New Roman" w:cs="Times New Roman"/>
          <w:spacing w:val="-13"/>
          <w:sz w:val="20"/>
          <w:szCs w:val="20"/>
        </w:rPr>
        <w:t xml:space="preserve"> </w:t>
      </w:r>
      <w:r w:rsidRPr="00E3439B">
        <w:rPr>
          <w:rFonts w:ascii="Times New Roman" w:eastAsia="Verdana" w:hAnsi="Times New Roman" w:cs="Times New Roman"/>
          <w:spacing w:val="-4"/>
          <w:sz w:val="20"/>
          <w:szCs w:val="20"/>
        </w:rPr>
        <w:t>договорите</w:t>
      </w:r>
      <w:r w:rsidRPr="00E3439B">
        <w:rPr>
          <w:rFonts w:ascii="Times New Roman" w:eastAsia="Verdana" w:hAnsi="Times New Roman" w:cs="Times New Roman"/>
          <w:spacing w:val="-11"/>
          <w:sz w:val="20"/>
          <w:szCs w:val="20"/>
        </w:rPr>
        <w:t xml:space="preserve"> </w:t>
      </w:r>
      <w:r w:rsidRPr="00E3439B">
        <w:rPr>
          <w:rFonts w:ascii="Times New Roman" w:eastAsia="Verdana" w:hAnsi="Times New Roman" w:cs="Times New Roman"/>
          <w:spacing w:val="-4"/>
          <w:sz w:val="20"/>
          <w:szCs w:val="20"/>
        </w:rPr>
        <w:t>за</w:t>
      </w:r>
      <w:r w:rsidRPr="00E3439B">
        <w:rPr>
          <w:rFonts w:ascii="Times New Roman" w:eastAsia="Verdana" w:hAnsi="Times New Roman" w:cs="Times New Roman"/>
          <w:spacing w:val="-9"/>
          <w:sz w:val="20"/>
          <w:szCs w:val="20"/>
        </w:rPr>
        <w:t xml:space="preserve"> </w:t>
      </w:r>
      <w:r w:rsidRPr="00E3439B">
        <w:rPr>
          <w:rFonts w:ascii="Times New Roman" w:eastAsia="Verdana" w:hAnsi="Times New Roman" w:cs="Times New Roman"/>
          <w:spacing w:val="-4"/>
          <w:sz w:val="20"/>
          <w:szCs w:val="20"/>
        </w:rPr>
        <w:t>безвъзмездна</w:t>
      </w:r>
      <w:r w:rsidRPr="00E3439B">
        <w:rPr>
          <w:rFonts w:ascii="Times New Roman" w:eastAsia="Verdana" w:hAnsi="Times New Roman" w:cs="Times New Roman"/>
          <w:spacing w:val="-9"/>
          <w:sz w:val="20"/>
          <w:szCs w:val="20"/>
        </w:rPr>
        <w:t xml:space="preserve"> </w:t>
      </w:r>
      <w:r w:rsidRPr="00E3439B">
        <w:rPr>
          <w:rFonts w:ascii="Times New Roman" w:eastAsia="Verdana" w:hAnsi="Times New Roman" w:cs="Times New Roman"/>
          <w:spacing w:val="-4"/>
          <w:sz w:val="20"/>
          <w:szCs w:val="20"/>
        </w:rPr>
        <w:t>финансова</w:t>
      </w:r>
      <w:r w:rsidRPr="00E3439B">
        <w:rPr>
          <w:rFonts w:ascii="Times New Roman" w:eastAsia="Verdana" w:hAnsi="Times New Roman" w:cs="Times New Roman"/>
          <w:spacing w:val="-6"/>
          <w:sz w:val="20"/>
          <w:szCs w:val="20"/>
        </w:rPr>
        <w:t xml:space="preserve"> </w:t>
      </w:r>
      <w:r w:rsidRPr="00E3439B">
        <w:rPr>
          <w:rFonts w:ascii="Times New Roman" w:eastAsia="Verdana" w:hAnsi="Times New Roman" w:cs="Times New Roman"/>
          <w:spacing w:val="-3"/>
          <w:sz w:val="20"/>
          <w:szCs w:val="20"/>
        </w:rPr>
        <w:t>помощ;</w:t>
      </w:r>
    </w:p>
    <w:p w:rsidR="00E3439B" w:rsidRPr="00E3439B" w:rsidRDefault="00E3439B" w:rsidP="00E3439B">
      <w:pPr>
        <w:widowControl w:val="0"/>
        <w:autoSpaceDE w:val="0"/>
        <w:autoSpaceDN w:val="0"/>
        <w:spacing w:after="0" w:line="240" w:lineRule="auto"/>
        <w:ind w:firstLine="426"/>
        <w:jc w:val="both"/>
        <w:rPr>
          <w:rFonts w:ascii="Times New Roman" w:eastAsia="Verdana" w:hAnsi="Times New Roman" w:cs="Times New Roman"/>
          <w:sz w:val="20"/>
          <w:szCs w:val="20"/>
        </w:rPr>
      </w:pPr>
      <w:r w:rsidRPr="00E3439B">
        <w:rPr>
          <w:rFonts w:ascii="Times New Roman" w:eastAsia="Verdana" w:hAnsi="Times New Roman" w:cs="Times New Roman"/>
          <w:noProof/>
          <w:sz w:val="20"/>
          <w:szCs w:val="20"/>
          <w:lang w:eastAsia="bg-BG"/>
        </w:rPr>
        <w:drawing>
          <wp:inline distT="0" distB="0" distL="0" distR="0">
            <wp:extent cx="144780" cy="126364"/>
            <wp:effectExtent l="0" t="0" r="0" b="0"/>
            <wp:docPr id="3"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5" cstate="print"/>
                    <a:stretch>
                      <a:fillRect/>
                    </a:stretch>
                  </pic:blipFill>
                  <pic:spPr>
                    <a:xfrm>
                      <a:off x="0" y="0"/>
                      <a:ext cx="144780" cy="126364"/>
                    </a:xfrm>
                    <a:prstGeom prst="rect">
                      <a:avLst/>
                    </a:prstGeom>
                  </pic:spPr>
                </pic:pic>
              </a:graphicData>
            </a:graphic>
          </wp:inline>
        </w:drawing>
      </w:r>
      <w:r w:rsidRPr="00E3439B">
        <w:rPr>
          <w:rFonts w:ascii="Times New Roman" w:eastAsia="Verdana" w:hAnsi="Times New Roman" w:cs="Times New Roman"/>
          <w:sz w:val="20"/>
          <w:szCs w:val="20"/>
        </w:rPr>
        <w:t xml:space="preserve">  </w:t>
      </w:r>
      <w:r w:rsidRPr="00E3439B">
        <w:rPr>
          <w:rFonts w:ascii="Times New Roman" w:eastAsia="Verdana" w:hAnsi="Times New Roman" w:cs="Times New Roman"/>
          <w:spacing w:val="-23"/>
          <w:sz w:val="20"/>
          <w:szCs w:val="20"/>
        </w:rPr>
        <w:t xml:space="preserve"> </w:t>
      </w:r>
      <w:r w:rsidRPr="00E3439B">
        <w:rPr>
          <w:rFonts w:ascii="Times New Roman" w:eastAsia="Verdana" w:hAnsi="Times New Roman" w:cs="Times New Roman"/>
          <w:spacing w:val="-4"/>
          <w:sz w:val="20"/>
          <w:szCs w:val="20"/>
        </w:rPr>
        <w:t>Спазване</w:t>
      </w:r>
      <w:r w:rsidRPr="00E3439B">
        <w:rPr>
          <w:rFonts w:ascii="Times New Roman" w:eastAsia="Verdana" w:hAnsi="Times New Roman" w:cs="Times New Roman"/>
          <w:spacing w:val="-13"/>
          <w:sz w:val="20"/>
          <w:szCs w:val="20"/>
        </w:rPr>
        <w:t xml:space="preserve"> </w:t>
      </w:r>
      <w:r w:rsidRPr="00E3439B">
        <w:rPr>
          <w:rFonts w:ascii="Times New Roman" w:eastAsia="Verdana" w:hAnsi="Times New Roman" w:cs="Times New Roman"/>
          <w:spacing w:val="-4"/>
          <w:sz w:val="20"/>
          <w:szCs w:val="20"/>
        </w:rPr>
        <w:t>на</w:t>
      </w:r>
      <w:r w:rsidRPr="00E3439B">
        <w:rPr>
          <w:rFonts w:ascii="Times New Roman" w:eastAsia="Verdana" w:hAnsi="Times New Roman" w:cs="Times New Roman"/>
          <w:spacing w:val="-11"/>
          <w:sz w:val="20"/>
          <w:szCs w:val="20"/>
        </w:rPr>
        <w:t xml:space="preserve"> </w:t>
      </w:r>
      <w:r w:rsidRPr="00E3439B">
        <w:rPr>
          <w:rFonts w:ascii="Times New Roman" w:eastAsia="Verdana" w:hAnsi="Times New Roman" w:cs="Times New Roman"/>
          <w:spacing w:val="-4"/>
          <w:sz w:val="20"/>
          <w:szCs w:val="20"/>
        </w:rPr>
        <w:t>условията</w:t>
      </w:r>
      <w:r w:rsidRPr="00E3439B">
        <w:rPr>
          <w:rFonts w:ascii="Times New Roman" w:eastAsia="Verdana" w:hAnsi="Times New Roman" w:cs="Times New Roman"/>
          <w:spacing w:val="-11"/>
          <w:sz w:val="20"/>
          <w:szCs w:val="20"/>
        </w:rPr>
        <w:t xml:space="preserve"> </w:t>
      </w:r>
      <w:r w:rsidRPr="00E3439B">
        <w:rPr>
          <w:rFonts w:ascii="Times New Roman" w:eastAsia="Verdana" w:hAnsi="Times New Roman" w:cs="Times New Roman"/>
          <w:spacing w:val="-4"/>
          <w:sz w:val="20"/>
          <w:szCs w:val="20"/>
        </w:rPr>
        <w:t>на</w:t>
      </w:r>
      <w:r w:rsidRPr="00E3439B">
        <w:rPr>
          <w:rFonts w:ascii="Times New Roman" w:eastAsia="Verdana" w:hAnsi="Times New Roman" w:cs="Times New Roman"/>
          <w:spacing w:val="-11"/>
          <w:sz w:val="20"/>
          <w:szCs w:val="20"/>
        </w:rPr>
        <w:t xml:space="preserve"> </w:t>
      </w:r>
      <w:r w:rsidRPr="00E3439B">
        <w:rPr>
          <w:rFonts w:ascii="Times New Roman" w:eastAsia="Verdana" w:hAnsi="Times New Roman" w:cs="Times New Roman"/>
          <w:spacing w:val="-4"/>
          <w:sz w:val="20"/>
          <w:szCs w:val="20"/>
        </w:rPr>
        <w:t>договора</w:t>
      </w:r>
      <w:r w:rsidRPr="00E3439B">
        <w:rPr>
          <w:rFonts w:ascii="Times New Roman" w:eastAsia="Verdana" w:hAnsi="Times New Roman" w:cs="Times New Roman"/>
          <w:spacing w:val="-11"/>
          <w:sz w:val="20"/>
          <w:szCs w:val="20"/>
        </w:rPr>
        <w:t xml:space="preserve"> </w:t>
      </w:r>
      <w:r w:rsidRPr="00E3439B">
        <w:rPr>
          <w:rFonts w:ascii="Times New Roman" w:eastAsia="Verdana" w:hAnsi="Times New Roman" w:cs="Times New Roman"/>
          <w:spacing w:val="-3"/>
          <w:sz w:val="20"/>
          <w:szCs w:val="20"/>
        </w:rPr>
        <w:t>за</w:t>
      </w:r>
      <w:r w:rsidRPr="00E3439B">
        <w:rPr>
          <w:rFonts w:ascii="Times New Roman" w:eastAsia="Verdana" w:hAnsi="Times New Roman" w:cs="Times New Roman"/>
          <w:spacing w:val="-11"/>
          <w:sz w:val="20"/>
          <w:szCs w:val="20"/>
        </w:rPr>
        <w:t xml:space="preserve"> </w:t>
      </w:r>
      <w:r w:rsidRPr="00E3439B">
        <w:rPr>
          <w:rFonts w:ascii="Times New Roman" w:eastAsia="Verdana" w:hAnsi="Times New Roman" w:cs="Times New Roman"/>
          <w:spacing w:val="-3"/>
          <w:sz w:val="20"/>
          <w:szCs w:val="20"/>
        </w:rPr>
        <w:t>безвъзмездна</w:t>
      </w:r>
      <w:r w:rsidRPr="00E3439B">
        <w:rPr>
          <w:rFonts w:ascii="Times New Roman" w:eastAsia="Verdana" w:hAnsi="Times New Roman" w:cs="Times New Roman"/>
          <w:spacing w:val="-11"/>
          <w:sz w:val="20"/>
          <w:szCs w:val="20"/>
        </w:rPr>
        <w:t xml:space="preserve"> </w:t>
      </w:r>
      <w:r w:rsidRPr="00E3439B">
        <w:rPr>
          <w:rFonts w:ascii="Times New Roman" w:eastAsia="Verdana" w:hAnsi="Times New Roman" w:cs="Times New Roman"/>
          <w:spacing w:val="-3"/>
          <w:sz w:val="20"/>
          <w:szCs w:val="20"/>
        </w:rPr>
        <w:t>финансова</w:t>
      </w:r>
      <w:r w:rsidRPr="00E3439B">
        <w:rPr>
          <w:rFonts w:ascii="Times New Roman" w:eastAsia="Verdana" w:hAnsi="Times New Roman" w:cs="Times New Roman"/>
          <w:spacing w:val="-11"/>
          <w:sz w:val="20"/>
          <w:szCs w:val="20"/>
        </w:rPr>
        <w:t xml:space="preserve"> </w:t>
      </w:r>
      <w:r w:rsidRPr="00E3439B">
        <w:rPr>
          <w:rFonts w:ascii="Times New Roman" w:eastAsia="Verdana" w:hAnsi="Times New Roman" w:cs="Times New Roman"/>
          <w:spacing w:val="-3"/>
          <w:sz w:val="20"/>
          <w:szCs w:val="20"/>
        </w:rPr>
        <w:t>помощ;</w:t>
      </w:r>
    </w:p>
    <w:p w:rsidR="00E3439B" w:rsidRPr="00E3439B" w:rsidRDefault="00E3439B" w:rsidP="00E3439B">
      <w:pPr>
        <w:widowControl w:val="0"/>
        <w:autoSpaceDE w:val="0"/>
        <w:autoSpaceDN w:val="0"/>
        <w:spacing w:after="0" w:line="240" w:lineRule="auto"/>
        <w:ind w:firstLine="426"/>
        <w:jc w:val="both"/>
        <w:rPr>
          <w:rFonts w:ascii="Times New Roman" w:eastAsia="Verdana" w:hAnsi="Times New Roman" w:cs="Times New Roman"/>
          <w:sz w:val="20"/>
          <w:szCs w:val="20"/>
        </w:rPr>
      </w:pPr>
      <w:r w:rsidRPr="00E3439B">
        <w:rPr>
          <w:rFonts w:ascii="Times New Roman" w:eastAsia="Verdana" w:hAnsi="Times New Roman" w:cs="Times New Roman"/>
          <w:noProof/>
          <w:sz w:val="20"/>
          <w:szCs w:val="20"/>
          <w:lang w:eastAsia="bg-BG"/>
        </w:rPr>
        <w:drawing>
          <wp:inline distT="0" distB="0" distL="0" distR="0">
            <wp:extent cx="144780" cy="126364"/>
            <wp:effectExtent l="0" t="0" r="0" b="0"/>
            <wp:docPr id="4"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5" cstate="print"/>
                    <a:stretch>
                      <a:fillRect/>
                    </a:stretch>
                  </pic:blipFill>
                  <pic:spPr>
                    <a:xfrm>
                      <a:off x="0" y="0"/>
                      <a:ext cx="144780" cy="126364"/>
                    </a:xfrm>
                    <a:prstGeom prst="rect">
                      <a:avLst/>
                    </a:prstGeom>
                  </pic:spPr>
                </pic:pic>
              </a:graphicData>
            </a:graphic>
          </wp:inline>
        </w:drawing>
      </w:r>
      <w:r w:rsidRPr="00E3439B">
        <w:rPr>
          <w:rFonts w:ascii="Times New Roman" w:eastAsia="Verdana" w:hAnsi="Times New Roman" w:cs="Times New Roman"/>
          <w:sz w:val="20"/>
          <w:szCs w:val="20"/>
        </w:rPr>
        <w:t xml:space="preserve">  </w:t>
      </w:r>
      <w:r w:rsidRPr="00E3439B">
        <w:rPr>
          <w:rFonts w:ascii="Times New Roman" w:eastAsia="Verdana" w:hAnsi="Times New Roman" w:cs="Times New Roman"/>
          <w:spacing w:val="-23"/>
          <w:sz w:val="20"/>
          <w:szCs w:val="20"/>
        </w:rPr>
        <w:t xml:space="preserve"> </w:t>
      </w:r>
      <w:r w:rsidRPr="00E3439B">
        <w:rPr>
          <w:rFonts w:ascii="Times New Roman" w:eastAsia="Verdana" w:hAnsi="Times New Roman" w:cs="Times New Roman"/>
          <w:sz w:val="20"/>
          <w:szCs w:val="20"/>
        </w:rPr>
        <w:t>Отчитане</w:t>
      </w:r>
      <w:r w:rsidRPr="00E3439B">
        <w:rPr>
          <w:rFonts w:ascii="Times New Roman" w:eastAsia="Verdana" w:hAnsi="Times New Roman" w:cs="Times New Roman"/>
          <w:spacing w:val="28"/>
          <w:sz w:val="20"/>
          <w:szCs w:val="20"/>
        </w:rPr>
        <w:t xml:space="preserve"> </w:t>
      </w:r>
      <w:r w:rsidRPr="00E3439B">
        <w:rPr>
          <w:rFonts w:ascii="Times New Roman" w:eastAsia="Verdana" w:hAnsi="Times New Roman" w:cs="Times New Roman"/>
          <w:sz w:val="20"/>
          <w:szCs w:val="20"/>
        </w:rPr>
        <w:t>на</w:t>
      </w:r>
      <w:r w:rsidRPr="00E3439B">
        <w:rPr>
          <w:rFonts w:ascii="Times New Roman" w:eastAsia="Verdana" w:hAnsi="Times New Roman" w:cs="Times New Roman"/>
          <w:spacing w:val="29"/>
          <w:sz w:val="20"/>
          <w:szCs w:val="20"/>
        </w:rPr>
        <w:t xml:space="preserve"> </w:t>
      </w:r>
      <w:r w:rsidRPr="00E3439B">
        <w:rPr>
          <w:rFonts w:ascii="Times New Roman" w:eastAsia="Verdana" w:hAnsi="Times New Roman" w:cs="Times New Roman"/>
          <w:sz w:val="20"/>
          <w:szCs w:val="20"/>
        </w:rPr>
        <w:t>напредъка</w:t>
      </w:r>
      <w:r w:rsidRPr="00E3439B">
        <w:rPr>
          <w:rFonts w:ascii="Times New Roman" w:eastAsia="Verdana" w:hAnsi="Times New Roman" w:cs="Times New Roman"/>
          <w:spacing w:val="29"/>
          <w:sz w:val="20"/>
          <w:szCs w:val="20"/>
        </w:rPr>
        <w:t xml:space="preserve"> </w:t>
      </w:r>
      <w:r w:rsidRPr="00E3439B">
        <w:rPr>
          <w:rFonts w:ascii="Times New Roman" w:eastAsia="Verdana" w:hAnsi="Times New Roman" w:cs="Times New Roman"/>
          <w:sz w:val="20"/>
          <w:szCs w:val="20"/>
        </w:rPr>
        <w:t>при</w:t>
      </w:r>
      <w:r w:rsidRPr="00E3439B">
        <w:rPr>
          <w:rFonts w:ascii="Times New Roman" w:eastAsia="Verdana" w:hAnsi="Times New Roman" w:cs="Times New Roman"/>
          <w:spacing w:val="31"/>
          <w:sz w:val="20"/>
          <w:szCs w:val="20"/>
        </w:rPr>
        <w:t xml:space="preserve"> </w:t>
      </w:r>
      <w:r w:rsidRPr="00E3439B">
        <w:rPr>
          <w:rFonts w:ascii="Times New Roman" w:eastAsia="Verdana" w:hAnsi="Times New Roman" w:cs="Times New Roman"/>
          <w:sz w:val="20"/>
          <w:szCs w:val="20"/>
        </w:rPr>
        <w:t>изпълнение</w:t>
      </w:r>
      <w:r w:rsidRPr="00E3439B">
        <w:rPr>
          <w:rFonts w:ascii="Times New Roman" w:eastAsia="Verdana" w:hAnsi="Times New Roman" w:cs="Times New Roman"/>
          <w:spacing w:val="29"/>
          <w:sz w:val="20"/>
          <w:szCs w:val="20"/>
        </w:rPr>
        <w:t xml:space="preserve"> </w:t>
      </w:r>
      <w:r w:rsidRPr="00E3439B">
        <w:rPr>
          <w:rFonts w:ascii="Times New Roman" w:eastAsia="Verdana" w:hAnsi="Times New Roman" w:cs="Times New Roman"/>
          <w:sz w:val="20"/>
          <w:szCs w:val="20"/>
        </w:rPr>
        <w:t>на</w:t>
      </w:r>
      <w:r w:rsidRPr="00E3439B">
        <w:rPr>
          <w:rFonts w:ascii="Times New Roman" w:eastAsia="Verdana" w:hAnsi="Times New Roman" w:cs="Times New Roman"/>
          <w:spacing w:val="31"/>
          <w:sz w:val="20"/>
          <w:szCs w:val="20"/>
        </w:rPr>
        <w:t xml:space="preserve"> </w:t>
      </w:r>
      <w:r w:rsidRPr="00E3439B">
        <w:rPr>
          <w:rFonts w:ascii="Times New Roman" w:eastAsia="Verdana" w:hAnsi="Times New Roman" w:cs="Times New Roman"/>
          <w:sz w:val="20"/>
          <w:szCs w:val="20"/>
        </w:rPr>
        <w:t>договорите</w:t>
      </w:r>
      <w:r w:rsidRPr="00E3439B">
        <w:rPr>
          <w:rFonts w:ascii="Times New Roman" w:eastAsia="Verdana" w:hAnsi="Times New Roman" w:cs="Times New Roman"/>
          <w:spacing w:val="29"/>
          <w:sz w:val="20"/>
          <w:szCs w:val="20"/>
        </w:rPr>
        <w:t xml:space="preserve"> </w:t>
      </w:r>
      <w:r w:rsidRPr="00E3439B">
        <w:rPr>
          <w:rFonts w:ascii="Times New Roman" w:eastAsia="Verdana" w:hAnsi="Times New Roman" w:cs="Times New Roman"/>
          <w:sz w:val="20"/>
          <w:szCs w:val="20"/>
        </w:rPr>
        <w:t>за</w:t>
      </w:r>
      <w:r w:rsidRPr="00E3439B">
        <w:rPr>
          <w:rFonts w:ascii="Times New Roman" w:eastAsia="Verdana" w:hAnsi="Times New Roman" w:cs="Times New Roman"/>
          <w:spacing w:val="31"/>
          <w:sz w:val="20"/>
          <w:szCs w:val="20"/>
        </w:rPr>
        <w:t xml:space="preserve"> </w:t>
      </w:r>
      <w:r w:rsidRPr="00E3439B">
        <w:rPr>
          <w:rFonts w:ascii="Times New Roman" w:eastAsia="Verdana" w:hAnsi="Times New Roman" w:cs="Times New Roman"/>
          <w:sz w:val="20"/>
          <w:szCs w:val="20"/>
        </w:rPr>
        <w:t>безвъзмездна</w:t>
      </w:r>
      <w:r w:rsidRPr="00E3439B">
        <w:rPr>
          <w:rFonts w:ascii="Times New Roman" w:eastAsia="Verdana" w:hAnsi="Times New Roman" w:cs="Times New Roman"/>
          <w:spacing w:val="32"/>
          <w:sz w:val="20"/>
          <w:szCs w:val="20"/>
        </w:rPr>
        <w:t xml:space="preserve"> </w:t>
      </w:r>
      <w:r w:rsidRPr="00E3439B">
        <w:rPr>
          <w:rFonts w:ascii="Times New Roman" w:eastAsia="Verdana" w:hAnsi="Times New Roman" w:cs="Times New Roman"/>
          <w:sz w:val="20"/>
          <w:szCs w:val="20"/>
        </w:rPr>
        <w:t>финансова</w:t>
      </w:r>
      <w:r w:rsidRPr="00E3439B">
        <w:rPr>
          <w:rFonts w:ascii="Times New Roman" w:eastAsia="Verdana" w:hAnsi="Times New Roman" w:cs="Times New Roman"/>
          <w:spacing w:val="-68"/>
          <w:sz w:val="20"/>
          <w:szCs w:val="20"/>
        </w:rPr>
        <w:t xml:space="preserve"> </w:t>
      </w:r>
      <w:r w:rsidRPr="00E3439B">
        <w:rPr>
          <w:rFonts w:ascii="Times New Roman" w:eastAsia="Verdana" w:hAnsi="Times New Roman" w:cs="Times New Roman"/>
          <w:sz w:val="20"/>
          <w:szCs w:val="20"/>
        </w:rPr>
        <w:t>помощ;</w:t>
      </w:r>
    </w:p>
    <w:p w:rsidR="00E3439B" w:rsidRPr="00E3439B" w:rsidRDefault="00E3439B" w:rsidP="00E3439B">
      <w:pPr>
        <w:widowControl w:val="0"/>
        <w:autoSpaceDE w:val="0"/>
        <w:autoSpaceDN w:val="0"/>
        <w:spacing w:after="0" w:line="240" w:lineRule="auto"/>
        <w:ind w:right="2" w:firstLine="426"/>
        <w:jc w:val="both"/>
        <w:rPr>
          <w:rFonts w:ascii="Times New Roman" w:eastAsia="Verdana" w:hAnsi="Times New Roman" w:cs="Times New Roman"/>
          <w:spacing w:val="-4"/>
          <w:sz w:val="20"/>
          <w:szCs w:val="20"/>
        </w:rPr>
      </w:pPr>
      <w:r w:rsidRPr="00E3439B">
        <w:rPr>
          <w:rFonts w:ascii="Times New Roman" w:eastAsia="Verdana" w:hAnsi="Times New Roman" w:cs="Times New Roman"/>
          <w:noProof/>
          <w:sz w:val="20"/>
          <w:szCs w:val="20"/>
          <w:lang w:eastAsia="bg-BG"/>
        </w:rPr>
        <w:drawing>
          <wp:inline distT="0" distB="0" distL="0" distR="0">
            <wp:extent cx="144780" cy="126364"/>
            <wp:effectExtent l="0" t="0" r="0" b="0"/>
            <wp:docPr id="5"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5" cstate="print"/>
                    <a:stretch>
                      <a:fillRect/>
                    </a:stretch>
                  </pic:blipFill>
                  <pic:spPr>
                    <a:xfrm>
                      <a:off x="0" y="0"/>
                      <a:ext cx="144780" cy="126364"/>
                    </a:xfrm>
                    <a:prstGeom prst="rect">
                      <a:avLst/>
                    </a:prstGeom>
                  </pic:spPr>
                </pic:pic>
              </a:graphicData>
            </a:graphic>
          </wp:inline>
        </w:drawing>
      </w:r>
      <w:r w:rsidRPr="00E3439B">
        <w:rPr>
          <w:rFonts w:ascii="Times New Roman" w:eastAsia="Verdana" w:hAnsi="Times New Roman" w:cs="Times New Roman"/>
          <w:sz w:val="20"/>
          <w:szCs w:val="20"/>
        </w:rPr>
        <w:t xml:space="preserve">  </w:t>
      </w:r>
      <w:r w:rsidRPr="00E3439B">
        <w:rPr>
          <w:rFonts w:ascii="Times New Roman" w:eastAsia="Verdana" w:hAnsi="Times New Roman" w:cs="Times New Roman"/>
          <w:spacing w:val="-23"/>
          <w:sz w:val="20"/>
          <w:szCs w:val="20"/>
        </w:rPr>
        <w:t xml:space="preserve"> </w:t>
      </w:r>
      <w:r w:rsidRPr="00E3439B">
        <w:rPr>
          <w:rFonts w:ascii="Times New Roman" w:eastAsia="Verdana" w:hAnsi="Times New Roman" w:cs="Times New Roman"/>
          <w:spacing w:val="-4"/>
          <w:sz w:val="20"/>
          <w:szCs w:val="20"/>
        </w:rPr>
        <w:t>Комуникация</w:t>
      </w:r>
      <w:r w:rsidRPr="00E3439B">
        <w:rPr>
          <w:rFonts w:ascii="Times New Roman" w:eastAsia="Verdana" w:hAnsi="Times New Roman" w:cs="Times New Roman"/>
          <w:spacing w:val="-10"/>
          <w:sz w:val="20"/>
          <w:szCs w:val="20"/>
        </w:rPr>
        <w:t xml:space="preserve"> </w:t>
      </w:r>
      <w:r w:rsidRPr="00E3439B">
        <w:rPr>
          <w:rFonts w:ascii="Times New Roman" w:eastAsia="Verdana" w:hAnsi="Times New Roman" w:cs="Times New Roman"/>
          <w:spacing w:val="-4"/>
          <w:sz w:val="20"/>
          <w:szCs w:val="20"/>
        </w:rPr>
        <w:t>със</w:t>
      </w:r>
      <w:r w:rsidRPr="00E3439B">
        <w:rPr>
          <w:rFonts w:ascii="Times New Roman" w:eastAsia="Verdana" w:hAnsi="Times New Roman" w:cs="Times New Roman"/>
          <w:spacing w:val="-11"/>
          <w:sz w:val="20"/>
          <w:szCs w:val="20"/>
        </w:rPr>
        <w:t xml:space="preserve"> </w:t>
      </w:r>
      <w:r w:rsidRPr="00E3439B">
        <w:rPr>
          <w:rFonts w:ascii="Times New Roman" w:eastAsia="Verdana" w:hAnsi="Times New Roman" w:cs="Times New Roman"/>
          <w:spacing w:val="-4"/>
          <w:sz w:val="20"/>
          <w:szCs w:val="20"/>
        </w:rPr>
        <w:t>съответните</w:t>
      </w:r>
      <w:r w:rsidRPr="00E3439B">
        <w:rPr>
          <w:rFonts w:ascii="Times New Roman" w:eastAsia="Verdana" w:hAnsi="Times New Roman" w:cs="Times New Roman"/>
          <w:spacing w:val="-11"/>
          <w:sz w:val="20"/>
          <w:szCs w:val="20"/>
        </w:rPr>
        <w:t xml:space="preserve"> институции</w:t>
      </w:r>
      <w:r w:rsidRPr="00E3439B">
        <w:rPr>
          <w:rFonts w:ascii="Times New Roman" w:eastAsia="Verdana" w:hAnsi="Times New Roman" w:cs="Times New Roman"/>
          <w:spacing w:val="-4"/>
          <w:sz w:val="20"/>
          <w:szCs w:val="20"/>
        </w:rPr>
        <w:t>;</w:t>
      </w:r>
    </w:p>
    <w:p w:rsidR="00E3439B" w:rsidRPr="00E3439B" w:rsidRDefault="00E3439B" w:rsidP="00E3439B">
      <w:pPr>
        <w:widowControl w:val="0"/>
        <w:autoSpaceDE w:val="0"/>
        <w:autoSpaceDN w:val="0"/>
        <w:spacing w:after="0" w:line="240" w:lineRule="auto"/>
        <w:ind w:right="2" w:firstLine="426"/>
        <w:jc w:val="both"/>
        <w:rPr>
          <w:rFonts w:ascii="Times New Roman" w:eastAsia="Verdana" w:hAnsi="Times New Roman" w:cs="Times New Roman"/>
          <w:color w:val="0563C1" w:themeColor="hyperlink"/>
          <w:spacing w:val="-3"/>
          <w:sz w:val="20"/>
          <w:szCs w:val="20"/>
          <w:u w:val="single"/>
        </w:rPr>
      </w:pPr>
      <w:r w:rsidRPr="00E3439B">
        <w:rPr>
          <w:rFonts w:ascii="Times New Roman" w:eastAsia="Verdana" w:hAnsi="Times New Roman" w:cs="Times New Roman"/>
          <w:w w:val="99"/>
          <w:sz w:val="20"/>
          <w:szCs w:val="20"/>
        </w:rPr>
        <w:t xml:space="preserve"> </w:t>
      </w:r>
      <w:r w:rsidRPr="00E3439B">
        <w:rPr>
          <w:rFonts w:ascii="Times New Roman" w:eastAsia="Verdana" w:hAnsi="Times New Roman" w:cs="Times New Roman"/>
          <w:noProof/>
          <w:w w:val="99"/>
          <w:sz w:val="20"/>
          <w:szCs w:val="20"/>
          <w:lang w:eastAsia="bg-BG"/>
        </w:rPr>
        <w:drawing>
          <wp:inline distT="0" distB="0" distL="0" distR="0">
            <wp:extent cx="144780" cy="126364"/>
            <wp:effectExtent l="0" t="0" r="0" b="0"/>
            <wp:docPr id="6"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jpeg"/>
                    <pic:cNvPicPr/>
                  </pic:nvPicPr>
                  <pic:blipFill>
                    <a:blip r:embed="rId5" cstate="print"/>
                    <a:stretch>
                      <a:fillRect/>
                    </a:stretch>
                  </pic:blipFill>
                  <pic:spPr>
                    <a:xfrm>
                      <a:off x="0" y="0"/>
                      <a:ext cx="144780" cy="126364"/>
                    </a:xfrm>
                    <a:prstGeom prst="rect">
                      <a:avLst/>
                    </a:prstGeom>
                  </pic:spPr>
                </pic:pic>
              </a:graphicData>
            </a:graphic>
          </wp:inline>
        </w:drawing>
      </w:r>
      <w:r w:rsidRPr="00E3439B">
        <w:rPr>
          <w:rFonts w:ascii="Times New Roman" w:eastAsia="Verdana" w:hAnsi="Times New Roman" w:cs="Times New Roman"/>
          <w:spacing w:val="-4"/>
          <w:sz w:val="20"/>
          <w:szCs w:val="20"/>
        </w:rPr>
        <w:t>Съответствие</w:t>
      </w:r>
      <w:r w:rsidRPr="00E3439B">
        <w:rPr>
          <w:rFonts w:ascii="Times New Roman" w:eastAsia="Verdana" w:hAnsi="Times New Roman" w:cs="Times New Roman"/>
          <w:spacing w:val="-12"/>
          <w:sz w:val="20"/>
          <w:szCs w:val="20"/>
        </w:rPr>
        <w:t xml:space="preserve"> </w:t>
      </w:r>
      <w:r w:rsidRPr="00E3439B">
        <w:rPr>
          <w:rFonts w:ascii="Times New Roman" w:eastAsia="Verdana" w:hAnsi="Times New Roman" w:cs="Times New Roman"/>
          <w:spacing w:val="-4"/>
          <w:sz w:val="20"/>
          <w:szCs w:val="20"/>
        </w:rPr>
        <w:t>с</w:t>
      </w:r>
      <w:r w:rsidRPr="00E3439B">
        <w:rPr>
          <w:rFonts w:ascii="Times New Roman" w:eastAsia="Verdana" w:hAnsi="Times New Roman" w:cs="Times New Roman"/>
          <w:spacing w:val="-13"/>
          <w:sz w:val="20"/>
          <w:szCs w:val="20"/>
        </w:rPr>
        <w:t xml:space="preserve"> </w:t>
      </w:r>
      <w:r w:rsidRPr="00E3439B">
        <w:rPr>
          <w:rFonts w:ascii="Times New Roman" w:eastAsia="Verdana" w:hAnsi="Times New Roman" w:cs="Times New Roman"/>
          <w:spacing w:val="-4"/>
          <w:sz w:val="20"/>
          <w:szCs w:val="20"/>
        </w:rPr>
        <w:t>правилата</w:t>
      </w:r>
      <w:r w:rsidRPr="00E3439B">
        <w:rPr>
          <w:rFonts w:ascii="Times New Roman" w:eastAsia="Verdana" w:hAnsi="Times New Roman" w:cs="Times New Roman"/>
          <w:spacing w:val="-12"/>
          <w:sz w:val="20"/>
          <w:szCs w:val="20"/>
        </w:rPr>
        <w:t xml:space="preserve"> </w:t>
      </w:r>
      <w:r w:rsidRPr="00E3439B">
        <w:rPr>
          <w:rFonts w:ascii="Times New Roman" w:eastAsia="Verdana" w:hAnsi="Times New Roman" w:cs="Times New Roman"/>
          <w:spacing w:val="-3"/>
          <w:sz w:val="20"/>
          <w:szCs w:val="20"/>
        </w:rPr>
        <w:t>за</w:t>
      </w:r>
      <w:r w:rsidRPr="00E3439B">
        <w:rPr>
          <w:rFonts w:ascii="Times New Roman" w:eastAsia="Verdana" w:hAnsi="Times New Roman" w:cs="Times New Roman"/>
          <w:spacing w:val="-10"/>
          <w:sz w:val="20"/>
          <w:szCs w:val="20"/>
        </w:rPr>
        <w:t xml:space="preserve"> </w:t>
      </w:r>
      <w:r w:rsidRPr="00E3439B">
        <w:rPr>
          <w:rFonts w:ascii="Times New Roman" w:eastAsia="Verdana" w:hAnsi="Times New Roman" w:cs="Times New Roman"/>
          <w:spacing w:val="-3"/>
          <w:sz w:val="20"/>
          <w:szCs w:val="20"/>
        </w:rPr>
        <w:t xml:space="preserve">визуализация - </w:t>
      </w:r>
      <w:hyperlink r:id="rId6" w:history="1">
        <w:r w:rsidRPr="00E3439B">
          <w:rPr>
            <w:rFonts w:ascii="Times New Roman" w:eastAsia="Verdana" w:hAnsi="Times New Roman" w:cs="Times New Roman"/>
            <w:color w:val="0563C1" w:themeColor="hyperlink"/>
            <w:spacing w:val="-3"/>
            <w:sz w:val="20"/>
            <w:szCs w:val="20"/>
            <w:u w:val="single"/>
          </w:rPr>
          <w:t>https://www.eufunds.bg/archive/documents/1423147813.pdf</w:t>
        </w:r>
      </w:hyperlink>
    </w:p>
    <w:p w:rsidR="00E3439B" w:rsidRPr="00E3439B" w:rsidRDefault="00E3439B" w:rsidP="00E3439B">
      <w:pPr>
        <w:widowControl w:val="0"/>
        <w:autoSpaceDE w:val="0"/>
        <w:autoSpaceDN w:val="0"/>
        <w:spacing w:after="0" w:line="240" w:lineRule="auto"/>
        <w:ind w:firstLine="426"/>
        <w:jc w:val="both"/>
        <w:rPr>
          <w:rFonts w:ascii="Times New Roman" w:eastAsia="Verdana" w:hAnsi="Times New Roman" w:cs="Times New Roman"/>
          <w:sz w:val="20"/>
          <w:szCs w:val="20"/>
        </w:rPr>
      </w:pPr>
      <w:r w:rsidRPr="00E3439B">
        <w:rPr>
          <w:rFonts w:ascii="Times New Roman" w:eastAsia="Verdana" w:hAnsi="Times New Roman" w:cs="Times New Roman"/>
          <w:noProof/>
          <w:sz w:val="20"/>
          <w:szCs w:val="20"/>
          <w:lang w:eastAsia="bg-BG"/>
        </w:rPr>
        <w:drawing>
          <wp:inline distT="0" distB="0" distL="0" distR="0">
            <wp:extent cx="144780" cy="126364"/>
            <wp:effectExtent l="0" t="0" r="0" b="0"/>
            <wp:docPr id="7"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5" cstate="print"/>
                    <a:stretch>
                      <a:fillRect/>
                    </a:stretch>
                  </pic:blipFill>
                  <pic:spPr>
                    <a:xfrm>
                      <a:off x="0" y="0"/>
                      <a:ext cx="144780" cy="126364"/>
                    </a:xfrm>
                    <a:prstGeom prst="rect">
                      <a:avLst/>
                    </a:prstGeom>
                  </pic:spPr>
                </pic:pic>
              </a:graphicData>
            </a:graphic>
          </wp:inline>
        </w:drawing>
      </w:r>
      <w:r w:rsidRPr="00E3439B">
        <w:rPr>
          <w:rFonts w:ascii="Times New Roman" w:eastAsia="Verdana" w:hAnsi="Times New Roman" w:cs="Times New Roman"/>
          <w:sz w:val="20"/>
          <w:szCs w:val="20"/>
        </w:rPr>
        <w:t xml:space="preserve">  </w:t>
      </w:r>
      <w:r w:rsidRPr="00E3439B">
        <w:rPr>
          <w:rFonts w:ascii="Times New Roman" w:eastAsia="Verdana" w:hAnsi="Times New Roman" w:cs="Times New Roman"/>
          <w:spacing w:val="-23"/>
          <w:sz w:val="20"/>
          <w:szCs w:val="20"/>
        </w:rPr>
        <w:t xml:space="preserve"> </w:t>
      </w:r>
      <w:r w:rsidRPr="00E3439B">
        <w:rPr>
          <w:rFonts w:ascii="Times New Roman" w:eastAsia="Verdana" w:hAnsi="Times New Roman" w:cs="Times New Roman"/>
          <w:sz w:val="20"/>
          <w:szCs w:val="20"/>
        </w:rPr>
        <w:t>Провеждане</w:t>
      </w:r>
      <w:r w:rsidRPr="00E3439B">
        <w:rPr>
          <w:rFonts w:ascii="Times New Roman" w:eastAsia="Verdana" w:hAnsi="Times New Roman" w:cs="Times New Roman"/>
          <w:spacing w:val="4"/>
          <w:sz w:val="20"/>
          <w:szCs w:val="20"/>
        </w:rPr>
        <w:t xml:space="preserve"> </w:t>
      </w:r>
      <w:r w:rsidRPr="00E3439B">
        <w:rPr>
          <w:rFonts w:ascii="Times New Roman" w:eastAsia="Verdana" w:hAnsi="Times New Roman" w:cs="Times New Roman"/>
          <w:sz w:val="20"/>
          <w:szCs w:val="20"/>
        </w:rPr>
        <w:t>на</w:t>
      </w:r>
      <w:r w:rsidRPr="00E3439B">
        <w:rPr>
          <w:rFonts w:ascii="Times New Roman" w:eastAsia="Verdana" w:hAnsi="Times New Roman" w:cs="Times New Roman"/>
          <w:spacing w:val="5"/>
          <w:sz w:val="20"/>
          <w:szCs w:val="20"/>
        </w:rPr>
        <w:t xml:space="preserve"> </w:t>
      </w:r>
      <w:r w:rsidRPr="00E3439B">
        <w:rPr>
          <w:rFonts w:ascii="Times New Roman" w:eastAsia="Verdana" w:hAnsi="Times New Roman" w:cs="Times New Roman"/>
          <w:sz w:val="20"/>
          <w:szCs w:val="20"/>
        </w:rPr>
        <w:t>процедури</w:t>
      </w:r>
      <w:r w:rsidRPr="00E3439B">
        <w:rPr>
          <w:rFonts w:ascii="Times New Roman" w:eastAsia="Verdana" w:hAnsi="Times New Roman" w:cs="Times New Roman"/>
          <w:spacing w:val="4"/>
          <w:sz w:val="20"/>
          <w:szCs w:val="20"/>
        </w:rPr>
        <w:t xml:space="preserve"> </w:t>
      </w:r>
      <w:r w:rsidRPr="00E3439B">
        <w:rPr>
          <w:rFonts w:ascii="Times New Roman" w:eastAsia="Verdana" w:hAnsi="Times New Roman" w:cs="Times New Roman"/>
          <w:sz w:val="20"/>
          <w:szCs w:val="20"/>
        </w:rPr>
        <w:t>за</w:t>
      </w:r>
      <w:r w:rsidRPr="00E3439B">
        <w:rPr>
          <w:rFonts w:ascii="Times New Roman" w:eastAsia="Verdana" w:hAnsi="Times New Roman" w:cs="Times New Roman"/>
          <w:spacing w:val="6"/>
          <w:sz w:val="20"/>
          <w:szCs w:val="20"/>
        </w:rPr>
        <w:t xml:space="preserve"> </w:t>
      </w:r>
      <w:r w:rsidRPr="00E3439B">
        <w:rPr>
          <w:rFonts w:ascii="Times New Roman" w:eastAsia="Verdana" w:hAnsi="Times New Roman" w:cs="Times New Roman"/>
          <w:sz w:val="20"/>
          <w:szCs w:val="20"/>
        </w:rPr>
        <w:t>определяне</w:t>
      </w:r>
      <w:r w:rsidRPr="00E3439B">
        <w:rPr>
          <w:rFonts w:ascii="Times New Roman" w:eastAsia="Verdana" w:hAnsi="Times New Roman" w:cs="Times New Roman"/>
          <w:spacing w:val="4"/>
          <w:sz w:val="20"/>
          <w:szCs w:val="20"/>
        </w:rPr>
        <w:t xml:space="preserve"> </w:t>
      </w:r>
      <w:r w:rsidRPr="00E3439B">
        <w:rPr>
          <w:rFonts w:ascii="Times New Roman" w:eastAsia="Verdana" w:hAnsi="Times New Roman" w:cs="Times New Roman"/>
          <w:sz w:val="20"/>
          <w:szCs w:val="20"/>
        </w:rPr>
        <w:t>на</w:t>
      </w:r>
      <w:r w:rsidRPr="00E3439B">
        <w:rPr>
          <w:rFonts w:ascii="Times New Roman" w:eastAsia="Verdana" w:hAnsi="Times New Roman" w:cs="Times New Roman"/>
          <w:spacing w:val="7"/>
          <w:sz w:val="20"/>
          <w:szCs w:val="20"/>
        </w:rPr>
        <w:t xml:space="preserve"> </w:t>
      </w:r>
      <w:r w:rsidRPr="00E3439B">
        <w:rPr>
          <w:rFonts w:ascii="Times New Roman" w:eastAsia="Verdana" w:hAnsi="Times New Roman" w:cs="Times New Roman"/>
          <w:sz w:val="20"/>
          <w:szCs w:val="20"/>
        </w:rPr>
        <w:t>изпълнител</w:t>
      </w:r>
      <w:r w:rsidRPr="00E3439B">
        <w:rPr>
          <w:rFonts w:ascii="Times New Roman" w:eastAsia="Verdana" w:hAnsi="Times New Roman" w:cs="Times New Roman"/>
          <w:spacing w:val="6"/>
          <w:sz w:val="20"/>
          <w:szCs w:val="20"/>
        </w:rPr>
        <w:t xml:space="preserve"> </w:t>
      </w:r>
      <w:r w:rsidRPr="00E3439B">
        <w:rPr>
          <w:rFonts w:ascii="Times New Roman" w:eastAsia="Verdana" w:hAnsi="Times New Roman" w:cs="Times New Roman"/>
          <w:sz w:val="20"/>
          <w:szCs w:val="20"/>
        </w:rPr>
        <w:t>и</w:t>
      </w:r>
      <w:r w:rsidRPr="00E3439B">
        <w:rPr>
          <w:rFonts w:ascii="Times New Roman" w:eastAsia="Verdana" w:hAnsi="Times New Roman" w:cs="Times New Roman"/>
          <w:spacing w:val="5"/>
          <w:sz w:val="20"/>
          <w:szCs w:val="20"/>
        </w:rPr>
        <w:t xml:space="preserve"> </w:t>
      </w:r>
      <w:r w:rsidRPr="00E3439B">
        <w:rPr>
          <w:rFonts w:ascii="Times New Roman" w:eastAsia="Verdana" w:hAnsi="Times New Roman" w:cs="Times New Roman"/>
          <w:sz w:val="20"/>
          <w:szCs w:val="20"/>
        </w:rPr>
        <w:t>изпълнение</w:t>
      </w:r>
      <w:r w:rsidRPr="00E3439B">
        <w:rPr>
          <w:rFonts w:ascii="Times New Roman" w:eastAsia="Verdana" w:hAnsi="Times New Roman" w:cs="Times New Roman"/>
          <w:spacing w:val="4"/>
          <w:sz w:val="20"/>
          <w:szCs w:val="20"/>
        </w:rPr>
        <w:t xml:space="preserve"> </w:t>
      </w:r>
      <w:r w:rsidRPr="00E3439B">
        <w:rPr>
          <w:rFonts w:ascii="Times New Roman" w:eastAsia="Verdana" w:hAnsi="Times New Roman" w:cs="Times New Roman"/>
          <w:sz w:val="20"/>
          <w:szCs w:val="20"/>
        </w:rPr>
        <w:t>на</w:t>
      </w:r>
      <w:r w:rsidRPr="00E3439B">
        <w:rPr>
          <w:rFonts w:ascii="Times New Roman" w:eastAsia="Verdana" w:hAnsi="Times New Roman" w:cs="Times New Roman"/>
          <w:spacing w:val="6"/>
          <w:sz w:val="20"/>
          <w:szCs w:val="20"/>
        </w:rPr>
        <w:t xml:space="preserve"> </w:t>
      </w:r>
      <w:r w:rsidRPr="00E3439B">
        <w:rPr>
          <w:rFonts w:ascii="Times New Roman" w:eastAsia="Verdana" w:hAnsi="Times New Roman" w:cs="Times New Roman"/>
          <w:sz w:val="20"/>
          <w:szCs w:val="20"/>
        </w:rPr>
        <w:t>договори</w:t>
      </w:r>
      <w:r w:rsidRPr="00E3439B">
        <w:rPr>
          <w:rFonts w:ascii="Times New Roman" w:eastAsia="Verdana" w:hAnsi="Times New Roman" w:cs="Times New Roman"/>
          <w:spacing w:val="5"/>
          <w:sz w:val="20"/>
          <w:szCs w:val="20"/>
        </w:rPr>
        <w:t xml:space="preserve"> </w:t>
      </w:r>
      <w:r w:rsidRPr="00E3439B">
        <w:rPr>
          <w:rFonts w:ascii="Times New Roman" w:eastAsia="Verdana" w:hAnsi="Times New Roman" w:cs="Times New Roman"/>
          <w:sz w:val="20"/>
          <w:szCs w:val="20"/>
        </w:rPr>
        <w:t xml:space="preserve">с </w:t>
      </w:r>
      <w:r w:rsidRPr="00E3439B">
        <w:rPr>
          <w:rFonts w:ascii="Times New Roman" w:eastAsia="Verdana" w:hAnsi="Times New Roman" w:cs="Times New Roman"/>
          <w:spacing w:val="-68"/>
          <w:sz w:val="20"/>
          <w:szCs w:val="20"/>
        </w:rPr>
        <w:t xml:space="preserve"> </w:t>
      </w:r>
      <w:r w:rsidRPr="00E3439B">
        <w:rPr>
          <w:rFonts w:ascii="Times New Roman" w:eastAsia="Verdana" w:hAnsi="Times New Roman" w:cs="Times New Roman"/>
          <w:sz w:val="20"/>
          <w:szCs w:val="20"/>
        </w:rPr>
        <w:t>изпълнители;</w:t>
      </w:r>
    </w:p>
    <w:p w:rsidR="00E3439B" w:rsidRPr="00E3439B" w:rsidRDefault="00E3439B" w:rsidP="00E3439B">
      <w:pPr>
        <w:widowControl w:val="0"/>
        <w:autoSpaceDE w:val="0"/>
        <w:autoSpaceDN w:val="0"/>
        <w:spacing w:after="0" w:line="240" w:lineRule="auto"/>
        <w:ind w:firstLine="426"/>
        <w:jc w:val="both"/>
        <w:rPr>
          <w:rFonts w:ascii="Times New Roman" w:eastAsia="Verdana" w:hAnsi="Times New Roman" w:cs="Times New Roman"/>
          <w:sz w:val="20"/>
          <w:szCs w:val="20"/>
        </w:rPr>
      </w:pPr>
      <w:r w:rsidRPr="00E3439B">
        <w:rPr>
          <w:rFonts w:ascii="Times New Roman" w:eastAsia="Verdana" w:hAnsi="Times New Roman" w:cs="Times New Roman"/>
          <w:noProof/>
          <w:sz w:val="20"/>
          <w:szCs w:val="20"/>
          <w:lang w:eastAsia="bg-BG"/>
        </w:rPr>
        <w:drawing>
          <wp:inline distT="0" distB="0" distL="0" distR="0">
            <wp:extent cx="144780" cy="126364"/>
            <wp:effectExtent l="0" t="0" r="0" b="0"/>
            <wp:docPr id="8"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jpeg"/>
                    <pic:cNvPicPr/>
                  </pic:nvPicPr>
                  <pic:blipFill>
                    <a:blip r:embed="rId5" cstate="print"/>
                    <a:stretch>
                      <a:fillRect/>
                    </a:stretch>
                  </pic:blipFill>
                  <pic:spPr>
                    <a:xfrm>
                      <a:off x="0" y="0"/>
                      <a:ext cx="144780" cy="126364"/>
                    </a:xfrm>
                    <a:prstGeom prst="rect">
                      <a:avLst/>
                    </a:prstGeom>
                  </pic:spPr>
                </pic:pic>
              </a:graphicData>
            </a:graphic>
          </wp:inline>
        </w:drawing>
      </w:r>
      <w:r w:rsidRPr="00E3439B">
        <w:rPr>
          <w:rFonts w:ascii="Times New Roman" w:eastAsia="Verdana" w:hAnsi="Times New Roman" w:cs="Times New Roman"/>
          <w:sz w:val="20"/>
          <w:szCs w:val="20"/>
        </w:rPr>
        <w:t xml:space="preserve">  </w:t>
      </w:r>
      <w:r w:rsidRPr="00E3439B">
        <w:rPr>
          <w:rFonts w:ascii="Times New Roman" w:eastAsia="Verdana" w:hAnsi="Times New Roman" w:cs="Times New Roman"/>
          <w:spacing w:val="-23"/>
          <w:sz w:val="20"/>
          <w:szCs w:val="20"/>
        </w:rPr>
        <w:t xml:space="preserve"> </w:t>
      </w:r>
      <w:r w:rsidRPr="00E3439B">
        <w:rPr>
          <w:rFonts w:ascii="Times New Roman" w:eastAsia="Verdana" w:hAnsi="Times New Roman" w:cs="Times New Roman"/>
          <w:sz w:val="20"/>
          <w:szCs w:val="20"/>
        </w:rPr>
        <w:t>Документооборот</w:t>
      </w:r>
      <w:r w:rsidRPr="00E3439B">
        <w:rPr>
          <w:rFonts w:ascii="Times New Roman" w:eastAsia="Verdana" w:hAnsi="Times New Roman" w:cs="Times New Roman"/>
          <w:spacing w:val="62"/>
          <w:sz w:val="20"/>
          <w:szCs w:val="20"/>
        </w:rPr>
        <w:t xml:space="preserve"> </w:t>
      </w:r>
      <w:r w:rsidRPr="00E3439B">
        <w:rPr>
          <w:rFonts w:ascii="Times New Roman" w:eastAsia="Verdana" w:hAnsi="Times New Roman" w:cs="Times New Roman"/>
          <w:sz w:val="20"/>
          <w:szCs w:val="20"/>
        </w:rPr>
        <w:t>и</w:t>
      </w:r>
      <w:r w:rsidRPr="00E3439B">
        <w:rPr>
          <w:rFonts w:ascii="Times New Roman" w:eastAsia="Verdana" w:hAnsi="Times New Roman" w:cs="Times New Roman"/>
          <w:spacing w:val="61"/>
          <w:sz w:val="20"/>
          <w:szCs w:val="20"/>
        </w:rPr>
        <w:t xml:space="preserve"> </w:t>
      </w:r>
      <w:r w:rsidRPr="00E3439B">
        <w:rPr>
          <w:rFonts w:ascii="Times New Roman" w:eastAsia="Verdana" w:hAnsi="Times New Roman" w:cs="Times New Roman"/>
          <w:sz w:val="20"/>
          <w:szCs w:val="20"/>
        </w:rPr>
        <w:t>поддържане</w:t>
      </w:r>
      <w:r w:rsidRPr="00E3439B">
        <w:rPr>
          <w:rFonts w:ascii="Times New Roman" w:eastAsia="Verdana" w:hAnsi="Times New Roman" w:cs="Times New Roman"/>
          <w:spacing w:val="60"/>
          <w:sz w:val="20"/>
          <w:szCs w:val="20"/>
        </w:rPr>
        <w:t xml:space="preserve"> </w:t>
      </w:r>
      <w:r w:rsidRPr="00E3439B">
        <w:rPr>
          <w:rFonts w:ascii="Times New Roman" w:eastAsia="Verdana" w:hAnsi="Times New Roman" w:cs="Times New Roman"/>
          <w:sz w:val="20"/>
          <w:szCs w:val="20"/>
        </w:rPr>
        <w:t>на</w:t>
      </w:r>
      <w:r w:rsidRPr="00E3439B">
        <w:rPr>
          <w:rFonts w:ascii="Times New Roman" w:eastAsia="Verdana" w:hAnsi="Times New Roman" w:cs="Times New Roman"/>
          <w:spacing w:val="61"/>
          <w:sz w:val="20"/>
          <w:szCs w:val="20"/>
        </w:rPr>
        <w:t xml:space="preserve"> </w:t>
      </w:r>
      <w:r w:rsidRPr="00E3439B">
        <w:rPr>
          <w:rFonts w:ascii="Times New Roman" w:eastAsia="Verdana" w:hAnsi="Times New Roman" w:cs="Times New Roman"/>
          <w:sz w:val="20"/>
          <w:szCs w:val="20"/>
        </w:rPr>
        <w:t>система</w:t>
      </w:r>
      <w:r w:rsidRPr="00E3439B">
        <w:rPr>
          <w:rFonts w:ascii="Times New Roman" w:eastAsia="Verdana" w:hAnsi="Times New Roman" w:cs="Times New Roman"/>
          <w:spacing w:val="61"/>
          <w:sz w:val="20"/>
          <w:szCs w:val="20"/>
        </w:rPr>
        <w:t xml:space="preserve"> </w:t>
      </w:r>
      <w:r w:rsidRPr="00E3439B">
        <w:rPr>
          <w:rFonts w:ascii="Times New Roman" w:eastAsia="Verdana" w:hAnsi="Times New Roman" w:cs="Times New Roman"/>
          <w:sz w:val="20"/>
          <w:szCs w:val="20"/>
        </w:rPr>
        <w:t>за</w:t>
      </w:r>
      <w:r w:rsidRPr="00E3439B">
        <w:rPr>
          <w:rFonts w:ascii="Times New Roman" w:eastAsia="Verdana" w:hAnsi="Times New Roman" w:cs="Times New Roman"/>
          <w:spacing w:val="64"/>
          <w:sz w:val="20"/>
          <w:szCs w:val="20"/>
        </w:rPr>
        <w:t xml:space="preserve"> </w:t>
      </w:r>
      <w:r w:rsidRPr="00E3439B">
        <w:rPr>
          <w:rFonts w:ascii="Times New Roman" w:eastAsia="Verdana" w:hAnsi="Times New Roman" w:cs="Times New Roman"/>
          <w:sz w:val="20"/>
          <w:szCs w:val="20"/>
        </w:rPr>
        <w:t>съхраняване</w:t>
      </w:r>
      <w:r w:rsidRPr="00E3439B">
        <w:rPr>
          <w:rFonts w:ascii="Times New Roman" w:eastAsia="Verdana" w:hAnsi="Times New Roman" w:cs="Times New Roman"/>
          <w:spacing w:val="60"/>
          <w:sz w:val="20"/>
          <w:szCs w:val="20"/>
        </w:rPr>
        <w:t xml:space="preserve"> </w:t>
      </w:r>
      <w:r w:rsidRPr="00E3439B">
        <w:rPr>
          <w:rFonts w:ascii="Times New Roman" w:eastAsia="Verdana" w:hAnsi="Times New Roman" w:cs="Times New Roman"/>
          <w:sz w:val="20"/>
          <w:szCs w:val="20"/>
        </w:rPr>
        <w:t>на</w:t>
      </w:r>
      <w:r w:rsidRPr="00E3439B">
        <w:rPr>
          <w:rFonts w:ascii="Times New Roman" w:eastAsia="Verdana" w:hAnsi="Times New Roman" w:cs="Times New Roman"/>
          <w:spacing w:val="63"/>
          <w:sz w:val="20"/>
          <w:szCs w:val="20"/>
        </w:rPr>
        <w:t xml:space="preserve"> </w:t>
      </w:r>
      <w:r w:rsidRPr="00E3439B">
        <w:rPr>
          <w:rFonts w:ascii="Times New Roman" w:eastAsia="Verdana" w:hAnsi="Times New Roman" w:cs="Times New Roman"/>
          <w:sz w:val="20"/>
          <w:szCs w:val="20"/>
        </w:rPr>
        <w:t>информацията</w:t>
      </w:r>
      <w:r w:rsidRPr="00E3439B">
        <w:rPr>
          <w:rFonts w:ascii="Times New Roman" w:eastAsia="Verdana" w:hAnsi="Times New Roman" w:cs="Times New Roman"/>
          <w:spacing w:val="61"/>
          <w:sz w:val="20"/>
          <w:szCs w:val="20"/>
        </w:rPr>
        <w:t xml:space="preserve"> </w:t>
      </w:r>
      <w:r w:rsidRPr="00E3439B">
        <w:rPr>
          <w:rFonts w:ascii="Times New Roman" w:eastAsia="Verdana" w:hAnsi="Times New Roman" w:cs="Times New Roman"/>
          <w:sz w:val="20"/>
          <w:szCs w:val="20"/>
        </w:rPr>
        <w:t>по</w:t>
      </w:r>
      <w:r w:rsidRPr="00E3439B">
        <w:rPr>
          <w:rFonts w:ascii="Times New Roman" w:eastAsia="Verdana" w:hAnsi="Times New Roman" w:cs="Times New Roman"/>
          <w:spacing w:val="-67"/>
          <w:sz w:val="20"/>
          <w:szCs w:val="20"/>
        </w:rPr>
        <w:t xml:space="preserve"> </w:t>
      </w:r>
      <w:r w:rsidRPr="00E3439B">
        <w:rPr>
          <w:rFonts w:ascii="Times New Roman" w:eastAsia="Verdana" w:hAnsi="Times New Roman" w:cs="Times New Roman"/>
          <w:sz w:val="20"/>
          <w:szCs w:val="20"/>
        </w:rPr>
        <w:t>договорите</w:t>
      </w:r>
      <w:r w:rsidRPr="00E3439B">
        <w:rPr>
          <w:rFonts w:ascii="Times New Roman" w:eastAsia="Verdana" w:hAnsi="Times New Roman" w:cs="Times New Roman"/>
          <w:spacing w:val="-13"/>
          <w:sz w:val="20"/>
          <w:szCs w:val="20"/>
        </w:rPr>
        <w:t xml:space="preserve"> </w:t>
      </w:r>
      <w:r w:rsidRPr="00E3439B">
        <w:rPr>
          <w:rFonts w:ascii="Times New Roman" w:eastAsia="Verdana" w:hAnsi="Times New Roman" w:cs="Times New Roman"/>
          <w:sz w:val="20"/>
          <w:szCs w:val="20"/>
        </w:rPr>
        <w:t>за</w:t>
      </w:r>
      <w:r w:rsidRPr="00E3439B">
        <w:rPr>
          <w:rFonts w:ascii="Times New Roman" w:eastAsia="Verdana" w:hAnsi="Times New Roman" w:cs="Times New Roman"/>
          <w:spacing w:val="-10"/>
          <w:sz w:val="20"/>
          <w:szCs w:val="20"/>
        </w:rPr>
        <w:t xml:space="preserve"> </w:t>
      </w:r>
      <w:r w:rsidRPr="00E3439B">
        <w:rPr>
          <w:rFonts w:ascii="Times New Roman" w:eastAsia="Verdana" w:hAnsi="Times New Roman" w:cs="Times New Roman"/>
          <w:sz w:val="20"/>
          <w:szCs w:val="20"/>
        </w:rPr>
        <w:t>безвъзмездна</w:t>
      </w:r>
      <w:r w:rsidRPr="00E3439B">
        <w:rPr>
          <w:rFonts w:ascii="Times New Roman" w:eastAsia="Verdana" w:hAnsi="Times New Roman" w:cs="Times New Roman"/>
          <w:spacing w:val="-10"/>
          <w:sz w:val="20"/>
          <w:szCs w:val="20"/>
        </w:rPr>
        <w:t xml:space="preserve"> </w:t>
      </w:r>
      <w:r w:rsidRPr="00E3439B">
        <w:rPr>
          <w:rFonts w:ascii="Times New Roman" w:eastAsia="Verdana" w:hAnsi="Times New Roman" w:cs="Times New Roman"/>
          <w:sz w:val="20"/>
          <w:szCs w:val="20"/>
        </w:rPr>
        <w:t>финансова</w:t>
      </w:r>
      <w:r w:rsidRPr="00E3439B">
        <w:rPr>
          <w:rFonts w:ascii="Times New Roman" w:eastAsia="Verdana" w:hAnsi="Times New Roman" w:cs="Times New Roman"/>
          <w:spacing w:val="-10"/>
          <w:sz w:val="20"/>
          <w:szCs w:val="20"/>
        </w:rPr>
        <w:t xml:space="preserve"> </w:t>
      </w:r>
      <w:r w:rsidRPr="00E3439B">
        <w:rPr>
          <w:rFonts w:ascii="Times New Roman" w:eastAsia="Verdana" w:hAnsi="Times New Roman" w:cs="Times New Roman"/>
          <w:sz w:val="20"/>
          <w:szCs w:val="20"/>
        </w:rPr>
        <w:t>помощ;</w:t>
      </w:r>
    </w:p>
    <w:p w:rsidR="00E3439B" w:rsidRPr="00E3439B" w:rsidRDefault="00E3439B" w:rsidP="00E3439B">
      <w:pPr>
        <w:spacing w:after="0" w:line="240" w:lineRule="auto"/>
        <w:ind w:firstLine="426"/>
        <w:contextualSpacing/>
        <w:jc w:val="both"/>
        <w:rPr>
          <w:rFonts w:ascii="Times New Roman" w:hAnsi="Times New Roman" w:cs="Times New Roman"/>
          <w:spacing w:val="-4"/>
          <w:sz w:val="20"/>
          <w:szCs w:val="20"/>
        </w:rPr>
      </w:pPr>
      <w:r w:rsidRPr="00E3439B">
        <w:rPr>
          <w:rFonts w:ascii="Times New Roman" w:hAnsi="Times New Roman" w:cs="Times New Roman"/>
          <w:sz w:val="20"/>
          <w:szCs w:val="20"/>
        </w:rPr>
        <w:t xml:space="preserve">      </w:t>
      </w:r>
      <w:r w:rsidRPr="00E3439B">
        <w:rPr>
          <w:rFonts w:ascii="Times New Roman" w:hAnsi="Times New Roman" w:cs="Times New Roman"/>
          <w:noProof/>
          <w:sz w:val="20"/>
          <w:szCs w:val="20"/>
          <w:lang w:eastAsia="bg-BG"/>
        </w:rPr>
        <w:drawing>
          <wp:inline distT="0" distB="0" distL="0" distR="0">
            <wp:extent cx="144780" cy="126998"/>
            <wp:effectExtent l="0" t="0" r="0" b="0"/>
            <wp:docPr id="9"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jpeg"/>
                    <pic:cNvPicPr/>
                  </pic:nvPicPr>
                  <pic:blipFill>
                    <a:blip r:embed="rId5" cstate="print"/>
                    <a:stretch>
                      <a:fillRect/>
                    </a:stretch>
                  </pic:blipFill>
                  <pic:spPr>
                    <a:xfrm>
                      <a:off x="0" y="0"/>
                      <a:ext cx="144780" cy="126998"/>
                    </a:xfrm>
                    <a:prstGeom prst="rect">
                      <a:avLst/>
                    </a:prstGeom>
                  </pic:spPr>
                </pic:pic>
              </a:graphicData>
            </a:graphic>
          </wp:inline>
        </w:drawing>
      </w:r>
      <w:r w:rsidRPr="00E3439B">
        <w:rPr>
          <w:rFonts w:ascii="Times New Roman" w:hAnsi="Times New Roman" w:cs="Times New Roman"/>
          <w:sz w:val="20"/>
          <w:szCs w:val="20"/>
        </w:rPr>
        <w:t xml:space="preserve">  </w:t>
      </w:r>
      <w:r w:rsidRPr="00E3439B">
        <w:rPr>
          <w:rFonts w:ascii="Times New Roman" w:hAnsi="Times New Roman" w:cs="Times New Roman"/>
          <w:spacing w:val="-23"/>
          <w:sz w:val="20"/>
          <w:szCs w:val="20"/>
        </w:rPr>
        <w:t xml:space="preserve"> </w:t>
      </w:r>
      <w:r w:rsidRPr="00E3439B">
        <w:rPr>
          <w:rFonts w:ascii="Times New Roman" w:hAnsi="Times New Roman" w:cs="Times New Roman"/>
          <w:spacing w:val="-4"/>
          <w:sz w:val="20"/>
          <w:szCs w:val="20"/>
        </w:rPr>
        <w:t>Установяване</w:t>
      </w:r>
      <w:r w:rsidRPr="00E3439B">
        <w:rPr>
          <w:rFonts w:ascii="Times New Roman" w:hAnsi="Times New Roman" w:cs="Times New Roman"/>
          <w:spacing w:val="-11"/>
          <w:sz w:val="20"/>
          <w:szCs w:val="20"/>
        </w:rPr>
        <w:t xml:space="preserve"> </w:t>
      </w:r>
      <w:r w:rsidRPr="00E3439B">
        <w:rPr>
          <w:rFonts w:ascii="Times New Roman" w:hAnsi="Times New Roman" w:cs="Times New Roman"/>
          <w:spacing w:val="-4"/>
          <w:sz w:val="20"/>
          <w:szCs w:val="20"/>
        </w:rPr>
        <w:t>на</w:t>
      </w:r>
      <w:r w:rsidRPr="00E3439B">
        <w:rPr>
          <w:rFonts w:ascii="Times New Roman" w:hAnsi="Times New Roman" w:cs="Times New Roman"/>
          <w:spacing w:val="-8"/>
          <w:sz w:val="20"/>
          <w:szCs w:val="20"/>
        </w:rPr>
        <w:t xml:space="preserve"> </w:t>
      </w:r>
      <w:r w:rsidRPr="00E3439B">
        <w:rPr>
          <w:rFonts w:ascii="Times New Roman" w:hAnsi="Times New Roman" w:cs="Times New Roman"/>
          <w:spacing w:val="-4"/>
          <w:sz w:val="20"/>
          <w:szCs w:val="20"/>
        </w:rPr>
        <w:t>нередности.</w:t>
      </w:r>
    </w:p>
    <w:p w:rsidR="00E3439B" w:rsidRPr="00E3439B" w:rsidRDefault="00E3439B" w:rsidP="00E3439B">
      <w:pPr>
        <w:spacing w:after="0" w:line="240" w:lineRule="auto"/>
        <w:ind w:firstLine="426"/>
        <w:contextualSpacing/>
        <w:jc w:val="both"/>
        <w:rPr>
          <w:rFonts w:ascii="Times New Roman" w:hAnsi="Times New Roman" w:cs="Times New Roman"/>
          <w:spacing w:val="-4"/>
          <w:sz w:val="20"/>
          <w:szCs w:val="20"/>
        </w:rPr>
      </w:pPr>
      <w:r w:rsidRPr="00E3439B">
        <w:rPr>
          <w:rFonts w:ascii="Times New Roman" w:hAnsi="Times New Roman" w:cs="Times New Roman"/>
          <w:spacing w:val="-4"/>
          <w:sz w:val="20"/>
          <w:szCs w:val="20"/>
        </w:rPr>
        <w:t>Срок за изпълнение 29.06.2021г.</w:t>
      </w:r>
    </w:p>
    <w:p w:rsidR="00E3439B" w:rsidRPr="00E3439B" w:rsidRDefault="00E3439B" w:rsidP="00E3439B">
      <w:pPr>
        <w:spacing w:after="0" w:line="240" w:lineRule="auto"/>
        <w:ind w:firstLine="426"/>
        <w:jc w:val="both"/>
        <w:rPr>
          <w:rFonts w:ascii="Times New Roman" w:hAnsi="Times New Roman" w:cs="Times New Roman"/>
          <w:spacing w:val="-4"/>
          <w:sz w:val="16"/>
          <w:szCs w:val="16"/>
        </w:rPr>
      </w:pPr>
    </w:p>
    <w:p w:rsidR="00E3439B" w:rsidRPr="00E3439B" w:rsidRDefault="00E3439B" w:rsidP="00E3439B">
      <w:pPr>
        <w:numPr>
          <w:ilvl w:val="0"/>
          <w:numId w:val="2"/>
        </w:numPr>
        <w:spacing w:after="0" w:line="240" w:lineRule="auto"/>
        <w:ind w:left="0" w:firstLine="426"/>
        <w:contextualSpacing/>
        <w:jc w:val="both"/>
        <w:rPr>
          <w:rFonts w:ascii="Times New Roman" w:hAnsi="Times New Roman" w:cs="Times New Roman"/>
          <w:sz w:val="20"/>
          <w:szCs w:val="20"/>
        </w:rPr>
      </w:pPr>
      <w:r w:rsidRPr="00E3439B">
        <w:rPr>
          <w:rFonts w:ascii="Times New Roman" w:hAnsi="Times New Roman" w:cs="Times New Roman"/>
          <w:spacing w:val="-4"/>
          <w:sz w:val="20"/>
          <w:szCs w:val="20"/>
        </w:rPr>
        <w:t>Всички уведомителни писма за непълноти и неясноти /по отношение на подадени молби за анекси, тръжни процедури, запитвания, проекти през МИГ и заявки/искания за плащане/, ще съдържат</w:t>
      </w:r>
      <w:r w:rsidRPr="00E3439B">
        <w:rPr>
          <w:rFonts w:ascii="Times New Roman" w:hAnsi="Times New Roman" w:cs="Times New Roman"/>
          <w:b/>
          <w:spacing w:val="-4"/>
          <w:sz w:val="20"/>
          <w:szCs w:val="20"/>
        </w:rPr>
        <w:t xml:space="preserve"> имена и контакти на експертите, които ги обработват</w:t>
      </w:r>
      <w:r w:rsidRPr="00E3439B">
        <w:rPr>
          <w:rFonts w:ascii="Times New Roman" w:hAnsi="Times New Roman" w:cs="Times New Roman"/>
          <w:spacing w:val="-4"/>
          <w:sz w:val="20"/>
          <w:szCs w:val="20"/>
        </w:rPr>
        <w:t>, с цел максимална публичност и прозрачност, както и възможност да бъдат обсъждани въпроси и неясноти от страна на кандидати/бенефициенти.</w:t>
      </w:r>
    </w:p>
    <w:p w:rsidR="00E3439B" w:rsidRPr="00E3439B" w:rsidRDefault="00E3439B" w:rsidP="00E3439B">
      <w:pPr>
        <w:spacing w:after="0" w:line="240" w:lineRule="auto"/>
        <w:ind w:firstLine="426"/>
        <w:contextualSpacing/>
        <w:jc w:val="both"/>
        <w:rPr>
          <w:rFonts w:ascii="Times New Roman" w:hAnsi="Times New Roman" w:cs="Times New Roman"/>
          <w:sz w:val="20"/>
          <w:szCs w:val="20"/>
        </w:rPr>
      </w:pPr>
      <w:r w:rsidRPr="00E3439B">
        <w:rPr>
          <w:rFonts w:ascii="Times New Roman" w:hAnsi="Times New Roman" w:cs="Times New Roman"/>
          <w:spacing w:val="-4"/>
          <w:sz w:val="20"/>
          <w:szCs w:val="20"/>
        </w:rPr>
        <w:t>Срок – изпълнено.</w:t>
      </w:r>
    </w:p>
    <w:p w:rsidR="00E3439B" w:rsidRPr="00E3439B" w:rsidRDefault="00E3439B" w:rsidP="00E3439B">
      <w:pPr>
        <w:spacing w:after="0" w:line="240" w:lineRule="auto"/>
        <w:ind w:firstLine="426"/>
        <w:contextualSpacing/>
        <w:jc w:val="both"/>
        <w:rPr>
          <w:rFonts w:ascii="Times New Roman" w:hAnsi="Times New Roman" w:cs="Times New Roman"/>
          <w:sz w:val="16"/>
          <w:szCs w:val="16"/>
        </w:rPr>
      </w:pPr>
    </w:p>
    <w:p w:rsidR="00E3439B" w:rsidRPr="00E3439B" w:rsidRDefault="00E3439B" w:rsidP="00007BF9">
      <w:pPr>
        <w:numPr>
          <w:ilvl w:val="0"/>
          <w:numId w:val="2"/>
        </w:numPr>
        <w:spacing w:after="0" w:line="240" w:lineRule="auto"/>
        <w:ind w:left="0" w:firstLine="426"/>
        <w:contextualSpacing/>
        <w:jc w:val="both"/>
        <w:rPr>
          <w:rFonts w:ascii="Times New Roman" w:hAnsi="Times New Roman" w:cs="Times New Roman"/>
          <w:spacing w:val="-4"/>
          <w:sz w:val="20"/>
          <w:szCs w:val="20"/>
        </w:rPr>
      </w:pPr>
      <w:r w:rsidRPr="00E3439B">
        <w:rPr>
          <w:rFonts w:ascii="Times New Roman" w:hAnsi="Times New Roman" w:cs="Times New Roman"/>
          <w:spacing w:val="-4"/>
          <w:sz w:val="20"/>
          <w:szCs w:val="20"/>
        </w:rPr>
        <w:t xml:space="preserve">От 28.06.2021г. (понеделник) ще бъдат открити </w:t>
      </w:r>
      <w:r w:rsidRPr="00E3439B">
        <w:rPr>
          <w:rFonts w:ascii="Times New Roman" w:hAnsi="Times New Roman" w:cs="Times New Roman"/>
          <w:b/>
          <w:spacing w:val="-4"/>
          <w:sz w:val="20"/>
          <w:szCs w:val="20"/>
        </w:rPr>
        <w:t>нови четири „горещи“ телефонни линии</w:t>
      </w:r>
      <w:r w:rsidRPr="00E3439B">
        <w:rPr>
          <w:rFonts w:ascii="Times New Roman" w:hAnsi="Times New Roman" w:cs="Times New Roman"/>
          <w:spacing w:val="-4"/>
          <w:sz w:val="20"/>
          <w:szCs w:val="20"/>
        </w:rPr>
        <w:t xml:space="preserve"> – две, от които ще отговарят за дирекция „ДПМРСР“ и две за дирекция „ОППМРСР“. Когато кандидат/бенефициент се свърже на „горещия“ телефон на съответната дирекция следва да предостави информация относно проекта или съответна преписка, по която желае да получи разяснения. С цел максимална оперативност и достоверност на информацията, в рамките на до 3 работни дни с кандидата ще се свърже експертът, обработващ преписката, а в случай, че желае да проведе среща на място, то всеки петък ще бъде </w:t>
      </w:r>
      <w:r w:rsidRPr="00E3439B">
        <w:rPr>
          <w:rFonts w:ascii="Times New Roman" w:hAnsi="Times New Roman" w:cs="Times New Roman"/>
          <w:b/>
          <w:spacing w:val="-4"/>
          <w:sz w:val="20"/>
          <w:szCs w:val="20"/>
        </w:rPr>
        <w:t xml:space="preserve">„ДЕН НА ОТВОРЕНИТЕ ВРАТИ“ в ДФ „ЗЕМЕДЕЛИЕ“. </w:t>
      </w:r>
      <w:r w:rsidRPr="00E3439B">
        <w:rPr>
          <w:rFonts w:ascii="Times New Roman" w:hAnsi="Times New Roman" w:cs="Times New Roman"/>
          <w:spacing w:val="-4"/>
          <w:sz w:val="20"/>
          <w:szCs w:val="20"/>
        </w:rPr>
        <w:t>Предварително ще трябва да се уговори датата и часът, като се предостави име, УРН, ИД № на проекта и темата, която ще бъде разисквана.</w:t>
      </w:r>
      <w:r w:rsidRPr="00E3439B">
        <w:rPr>
          <w:rFonts w:ascii="Times New Roman" w:hAnsi="Times New Roman" w:cs="Times New Roman"/>
          <w:b/>
          <w:spacing w:val="-4"/>
          <w:sz w:val="20"/>
          <w:szCs w:val="20"/>
        </w:rPr>
        <w:t xml:space="preserve"> </w:t>
      </w:r>
      <w:r w:rsidRPr="00E3439B">
        <w:rPr>
          <w:rFonts w:ascii="Times New Roman" w:hAnsi="Times New Roman" w:cs="Times New Roman"/>
          <w:spacing w:val="-4"/>
          <w:sz w:val="20"/>
          <w:szCs w:val="20"/>
        </w:rPr>
        <w:t>Всички обаждания и срещи ще бъдат описвани в нарочен регистър на дирекция „ДПМРСР“ и „ОППМРСР“.</w:t>
      </w:r>
    </w:p>
    <w:p w:rsidR="00E3439B" w:rsidRPr="00E3439B" w:rsidRDefault="00E3439B" w:rsidP="00E3439B">
      <w:pPr>
        <w:spacing w:after="0" w:line="240" w:lineRule="auto"/>
        <w:ind w:firstLine="426"/>
        <w:contextualSpacing/>
        <w:jc w:val="both"/>
        <w:rPr>
          <w:rFonts w:ascii="Times New Roman" w:hAnsi="Times New Roman" w:cs="Times New Roman"/>
          <w:spacing w:val="-4"/>
          <w:sz w:val="20"/>
          <w:szCs w:val="20"/>
        </w:rPr>
      </w:pPr>
      <w:r w:rsidRPr="00E3439B">
        <w:rPr>
          <w:rFonts w:ascii="Times New Roman" w:hAnsi="Times New Roman" w:cs="Times New Roman"/>
          <w:spacing w:val="-4"/>
          <w:sz w:val="20"/>
          <w:szCs w:val="20"/>
        </w:rPr>
        <w:t>Срок – 28.06.2021г.</w:t>
      </w:r>
    </w:p>
    <w:p w:rsidR="00E3439B" w:rsidRPr="00E3439B" w:rsidRDefault="00E3439B" w:rsidP="00E3439B">
      <w:pPr>
        <w:spacing w:after="0" w:line="240" w:lineRule="auto"/>
        <w:ind w:firstLine="426"/>
        <w:contextualSpacing/>
        <w:rPr>
          <w:rFonts w:ascii="Times New Roman" w:hAnsi="Times New Roman" w:cs="Times New Roman"/>
          <w:spacing w:val="-4"/>
          <w:sz w:val="16"/>
          <w:szCs w:val="16"/>
        </w:rPr>
      </w:pPr>
    </w:p>
    <w:p w:rsidR="00E3439B" w:rsidRPr="00E3439B" w:rsidRDefault="00E3439B" w:rsidP="00E3439B">
      <w:pPr>
        <w:numPr>
          <w:ilvl w:val="0"/>
          <w:numId w:val="2"/>
        </w:numPr>
        <w:spacing w:after="0" w:line="240" w:lineRule="auto"/>
        <w:ind w:left="0" w:firstLine="426"/>
        <w:contextualSpacing/>
        <w:jc w:val="both"/>
        <w:rPr>
          <w:rFonts w:ascii="Times New Roman" w:hAnsi="Times New Roman" w:cs="Times New Roman"/>
          <w:spacing w:val="-4"/>
          <w:sz w:val="20"/>
          <w:szCs w:val="20"/>
        </w:rPr>
      </w:pPr>
      <w:r w:rsidRPr="00E3439B">
        <w:rPr>
          <w:rFonts w:ascii="Times New Roman" w:hAnsi="Times New Roman" w:cs="Times New Roman"/>
          <w:spacing w:val="-4"/>
          <w:sz w:val="20"/>
          <w:szCs w:val="20"/>
        </w:rPr>
        <w:t xml:space="preserve">С цел максимална публичност и прозрачност за работата на ДФ „Земеделие“ на регулярна база ще се изпраща информационен бюлетин на електронните пощи на всички кандидати/бенефициенти с информация за напредъка по </w:t>
      </w:r>
      <w:proofErr w:type="spellStart"/>
      <w:r w:rsidRPr="00E3439B">
        <w:rPr>
          <w:rFonts w:ascii="Times New Roman" w:hAnsi="Times New Roman" w:cs="Times New Roman"/>
          <w:spacing w:val="-4"/>
          <w:sz w:val="20"/>
          <w:szCs w:val="20"/>
        </w:rPr>
        <w:t>подмерките</w:t>
      </w:r>
      <w:proofErr w:type="spellEnd"/>
      <w:r w:rsidRPr="00E3439B">
        <w:rPr>
          <w:rFonts w:ascii="Times New Roman" w:hAnsi="Times New Roman" w:cs="Times New Roman"/>
          <w:spacing w:val="-4"/>
          <w:sz w:val="20"/>
          <w:szCs w:val="20"/>
        </w:rPr>
        <w:t xml:space="preserve">. Информацията ще обхваща текущото състояние на всеки прием, както и обработката на анексите по </w:t>
      </w:r>
      <w:proofErr w:type="spellStart"/>
      <w:r w:rsidRPr="00E3439B">
        <w:rPr>
          <w:rFonts w:ascii="Times New Roman" w:hAnsi="Times New Roman" w:cs="Times New Roman"/>
          <w:spacing w:val="-4"/>
          <w:sz w:val="20"/>
          <w:szCs w:val="20"/>
        </w:rPr>
        <w:t>подмерки</w:t>
      </w:r>
      <w:proofErr w:type="spellEnd"/>
      <w:r w:rsidRPr="00E3439B">
        <w:rPr>
          <w:rFonts w:ascii="Times New Roman" w:hAnsi="Times New Roman" w:cs="Times New Roman"/>
          <w:spacing w:val="-4"/>
          <w:sz w:val="20"/>
          <w:szCs w:val="20"/>
        </w:rPr>
        <w:t>. Информационния бюлетин ще бъде качен и на електронната страница на ДФ „Земеделие“ и ще се актуализира на всеки две седмици.</w:t>
      </w:r>
    </w:p>
    <w:p w:rsidR="00E3439B" w:rsidRPr="00E3439B" w:rsidRDefault="00E3439B" w:rsidP="00E3439B">
      <w:pPr>
        <w:spacing w:after="0" w:line="240" w:lineRule="auto"/>
        <w:ind w:firstLine="426"/>
        <w:contextualSpacing/>
        <w:jc w:val="both"/>
        <w:rPr>
          <w:rFonts w:ascii="Times New Roman" w:hAnsi="Times New Roman" w:cs="Times New Roman"/>
          <w:spacing w:val="-4"/>
          <w:sz w:val="20"/>
          <w:szCs w:val="20"/>
        </w:rPr>
      </w:pPr>
      <w:r w:rsidRPr="00E3439B">
        <w:rPr>
          <w:rFonts w:ascii="Times New Roman" w:hAnsi="Times New Roman" w:cs="Times New Roman"/>
          <w:spacing w:val="-4"/>
          <w:sz w:val="20"/>
          <w:szCs w:val="20"/>
        </w:rPr>
        <w:t>Срок – постоянен.</w:t>
      </w:r>
    </w:p>
    <w:p w:rsidR="00E3439B" w:rsidRDefault="00E3439B" w:rsidP="0040063F">
      <w:pPr>
        <w:rPr>
          <w:rFonts w:ascii="Times New Roman" w:hAnsi="Times New Roman" w:cs="Times New Roman"/>
          <w:sz w:val="20"/>
          <w:szCs w:val="20"/>
        </w:rPr>
      </w:pPr>
    </w:p>
    <w:p w:rsidR="0040063F" w:rsidRPr="00E3439B" w:rsidRDefault="0040063F" w:rsidP="0040063F">
      <w:pPr>
        <w:rPr>
          <w:rStyle w:val="Strong"/>
          <w:rFonts w:ascii="Arial" w:hAnsi="Arial" w:cs="Arial"/>
          <w:color w:val="666666"/>
          <w:sz w:val="24"/>
          <w:szCs w:val="24"/>
        </w:rPr>
      </w:pPr>
      <w:r w:rsidRPr="00E3439B">
        <w:rPr>
          <w:rStyle w:val="Strong"/>
          <w:rFonts w:ascii="Arial" w:hAnsi="Arial" w:cs="Arial"/>
          <w:color w:val="666666"/>
          <w:sz w:val="24"/>
          <w:szCs w:val="24"/>
        </w:rPr>
        <w:t>Ресори „Селскостопански пазарни механизми" и „Инвестиционни схеми за подпомагане"</w:t>
      </w:r>
    </w:p>
    <w:p w:rsidR="001D732A" w:rsidRPr="00E3439B" w:rsidRDefault="001D732A" w:rsidP="00E3439B">
      <w:pPr>
        <w:pStyle w:val="ListParagraph"/>
        <w:numPr>
          <w:ilvl w:val="0"/>
          <w:numId w:val="1"/>
        </w:numPr>
        <w:spacing w:after="0" w:line="240" w:lineRule="auto"/>
        <w:ind w:left="0" w:firstLine="426"/>
        <w:rPr>
          <w:rStyle w:val="Strong"/>
          <w:rFonts w:ascii="Times New Roman" w:hAnsi="Times New Roman" w:cs="Times New Roman"/>
          <w:b w:val="0"/>
          <w:color w:val="666666"/>
          <w:sz w:val="20"/>
          <w:szCs w:val="20"/>
        </w:rPr>
      </w:pPr>
      <w:r w:rsidRPr="00E3439B">
        <w:rPr>
          <w:rStyle w:val="Strong"/>
          <w:rFonts w:ascii="Times New Roman" w:hAnsi="Times New Roman" w:cs="Times New Roman"/>
          <w:b w:val="0"/>
          <w:color w:val="666666"/>
          <w:sz w:val="20"/>
          <w:szCs w:val="20"/>
        </w:rPr>
        <w:lastRenderedPageBreak/>
        <w:t>Всички планови дейности в ресора са в рамките на индикативните графици</w:t>
      </w:r>
      <w:r w:rsidR="005E1B07" w:rsidRPr="00E3439B">
        <w:rPr>
          <w:rStyle w:val="Strong"/>
          <w:rFonts w:ascii="Times New Roman" w:hAnsi="Times New Roman" w:cs="Times New Roman"/>
          <w:b w:val="0"/>
          <w:color w:val="666666"/>
          <w:sz w:val="20"/>
          <w:szCs w:val="20"/>
        </w:rPr>
        <w:t>. Договорен е нов прием за 2021 г</w:t>
      </w:r>
      <w:r w:rsidR="00F832F3" w:rsidRPr="00E3439B">
        <w:rPr>
          <w:rStyle w:val="Strong"/>
          <w:rFonts w:ascii="Times New Roman" w:hAnsi="Times New Roman" w:cs="Times New Roman"/>
          <w:b w:val="0"/>
          <w:color w:val="666666"/>
          <w:sz w:val="20"/>
          <w:szCs w:val="20"/>
        </w:rPr>
        <w:t>.</w:t>
      </w:r>
      <w:r w:rsidR="005E1B07" w:rsidRPr="00E3439B">
        <w:rPr>
          <w:rStyle w:val="Strong"/>
          <w:rFonts w:ascii="Times New Roman" w:hAnsi="Times New Roman" w:cs="Times New Roman"/>
          <w:b w:val="0"/>
          <w:color w:val="666666"/>
          <w:sz w:val="20"/>
          <w:szCs w:val="20"/>
        </w:rPr>
        <w:t xml:space="preserve"> по Мярка „Преструктуриране и конверсия на лозя“ поради наличие на остатъчен бюджет от над 4 млн.</w:t>
      </w:r>
      <w:r w:rsidR="00F832F3" w:rsidRPr="00E3439B">
        <w:rPr>
          <w:rStyle w:val="Strong"/>
          <w:rFonts w:ascii="Times New Roman" w:hAnsi="Times New Roman" w:cs="Times New Roman"/>
          <w:b w:val="0"/>
          <w:color w:val="666666"/>
          <w:sz w:val="20"/>
          <w:szCs w:val="20"/>
        </w:rPr>
        <w:t>;</w:t>
      </w:r>
    </w:p>
    <w:p w:rsidR="00F832F3" w:rsidRDefault="005E1B07" w:rsidP="00E3439B">
      <w:pPr>
        <w:pStyle w:val="ListParagraph"/>
        <w:numPr>
          <w:ilvl w:val="0"/>
          <w:numId w:val="1"/>
        </w:numPr>
        <w:spacing w:after="0" w:line="240" w:lineRule="auto"/>
        <w:ind w:left="0" w:firstLine="426"/>
        <w:rPr>
          <w:rStyle w:val="Strong"/>
          <w:rFonts w:ascii="Times New Roman" w:hAnsi="Times New Roman" w:cs="Times New Roman"/>
          <w:b w:val="0"/>
          <w:color w:val="666666"/>
          <w:sz w:val="20"/>
          <w:szCs w:val="20"/>
        </w:rPr>
      </w:pPr>
      <w:r w:rsidRPr="00E3439B">
        <w:rPr>
          <w:rStyle w:val="Strong"/>
          <w:rFonts w:ascii="Times New Roman" w:hAnsi="Times New Roman" w:cs="Times New Roman"/>
          <w:b w:val="0"/>
          <w:color w:val="666666"/>
          <w:sz w:val="20"/>
          <w:szCs w:val="20"/>
        </w:rPr>
        <w:t xml:space="preserve">Подписване на </w:t>
      </w:r>
      <w:r w:rsidR="00F832F3" w:rsidRPr="00E3439B">
        <w:rPr>
          <w:rStyle w:val="Strong"/>
          <w:rFonts w:ascii="Times New Roman" w:hAnsi="Times New Roman" w:cs="Times New Roman"/>
          <w:b w:val="0"/>
          <w:color w:val="666666"/>
          <w:sz w:val="20"/>
          <w:szCs w:val="20"/>
        </w:rPr>
        <w:t xml:space="preserve">42 </w:t>
      </w:r>
      <w:r w:rsidRPr="00E3439B">
        <w:rPr>
          <w:rStyle w:val="Strong"/>
          <w:rFonts w:ascii="Times New Roman" w:hAnsi="Times New Roman" w:cs="Times New Roman"/>
          <w:b w:val="0"/>
          <w:color w:val="666666"/>
          <w:sz w:val="20"/>
          <w:szCs w:val="20"/>
        </w:rPr>
        <w:t>дого</w:t>
      </w:r>
      <w:r w:rsidR="00F832F3" w:rsidRPr="00E3439B">
        <w:rPr>
          <w:rStyle w:val="Strong"/>
          <w:rFonts w:ascii="Times New Roman" w:hAnsi="Times New Roman" w:cs="Times New Roman"/>
          <w:b w:val="0"/>
          <w:color w:val="666666"/>
          <w:sz w:val="20"/>
          <w:szCs w:val="20"/>
        </w:rPr>
        <w:t xml:space="preserve">вора </w:t>
      </w:r>
      <w:r w:rsidRPr="00E3439B">
        <w:rPr>
          <w:rStyle w:val="Strong"/>
          <w:rFonts w:ascii="Times New Roman" w:hAnsi="Times New Roman" w:cs="Times New Roman"/>
          <w:b w:val="0"/>
          <w:color w:val="666666"/>
          <w:sz w:val="20"/>
          <w:szCs w:val="20"/>
        </w:rPr>
        <w:t xml:space="preserve"> по Мярка „Инвестиции в предприятия “</w:t>
      </w:r>
      <w:r w:rsidR="00F832F3" w:rsidRPr="00E3439B">
        <w:rPr>
          <w:rStyle w:val="Strong"/>
          <w:rFonts w:ascii="Times New Roman" w:hAnsi="Times New Roman" w:cs="Times New Roman"/>
          <w:b w:val="0"/>
          <w:color w:val="666666"/>
          <w:sz w:val="20"/>
          <w:szCs w:val="20"/>
        </w:rPr>
        <w:t>;</w:t>
      </w:r>
    </w:p>
    <w:p w:rsidR="00E3439B" w:rsidRPr="00E3439B" w:rsidRDefault="00E3439B" w:rsidP="00E3439B">
      <w:pPr>
        <w:pStyle w:val="ListParagraph"/>
        <w:numPr>
          <w:ilvl w:val="0"/>
          <w:numId w:val="1"/>
        </w:numPr>
        <w:spacing w:after="0" w:line="240" w:lineRule="auto"/>
        <w:ind w:left="0" w:firstLine="426"/>
        <w:rPr>
          <w:rStyle w:val="Strong"/>
          <w:rFonts w:ascii="Times New Roman" w:hAnsi="Times New Roman" w:cs="Times New Roman"/>
          <w:b w:val="0"/>
          <w:color w:val="666666"/>
          <w:sz w:val="20"/>
          <w:szCs w:val="20"/>
        </w:rPr>
      </w:pPr>
      <w:r>
        <w:rPr>
          <w:rStyle w:val="Strong"/>
          <w:rFonts w:ascii="Times New Roman" w:hAnsi="Times New Roman" w:cs="Times New Roman"/>
          <w:b w:val="0"/>
          <w:color w:val="666666"/>
          <w:sz w:val="20"/>
          <w:szCs w:val="20"/>
        </w:rPr>
        <w:t>Дейности за развитие по казуси с изчакващи обработка заявки:</w:t>
      </w:r>
    </w:p>
    <w:p w:rsidR="00F832F3" w:rsidRPr="00E3439B" w:rsidRDefault="00E3439B" w:rsidP="00007BF9">
      <w:pPr>
        <w:pStyle w:val="ListParagraph"/>
        <w:numPr>
          <w:ilvl w:val="0"/>
          <w:numId w:val="3"/>
        </w:numPr>
        <w:spacing w:after="0" w:line="240" w:lineRule="auto"/>
        <w:ind w:left="0" w:firstLine="426"/>
        <w:rPr>
          <w:rStyle w:val="Strong"/>
          <w:rFonts w:ascii="Times New Roman" w:hAnsi="Times New Roman" w:cs="Times New Roman"/>
          <w:b w:val="0"/>
          <w:color w:val="666666"/>
          <w:sz w:val="20"/>
          <w:szCs w:val="20"/>
        </w:rPr>
      </w:pPr>
      <w:r w:rsidRPr="00E3439B">
        <w:rPr>
          <w:rStyle w:val="Strong"/>
          <w:rFonts w:ascii="Times New Roman" w:hAnsi="Times New Roman" w:cs="Times New Roman"/>
          <w:b w:val="0"/>
          <w:color w:val="666666"/>
          <w:sz w:val="20"/>
          <w:szCs w:val="20"/>
        </w:rPr>
        <w:t xml:space="preserve">Доклад от работата на комисия, в който е извършен анализ на цялостното участие на Ню </w:t>
      </w:r>
      <w:proofErr w:type="spellStart"/>
      <w:r w:rsidRPr="00E3439B">
        <w:rPr>
          <w:rStyle w:val="Strong"/>
          <w:rFonts w:ascii="Times New Roman" w:hAnsi="Times New Roman" w:cs="Times New Roman"/>
          <w:b w:val="0"/>
          <w:color w:val="666666"/>
          <w:sz w:val="20"/>
          <w:szCs w:val="20"/>
        </w:rPr>
        <w:t>Проджектс</w:t>
      </w:r>
      <w:proofErr w:type="spellEnd"/>
      <w:r w:rsidRPr="00E3439B">
        <w:rPr>
          <w:rStyle w:val="Strong"/>
          <w:rFonts w:ascii="Times New Roman" w:hAnsi="Times New Roman" w:cs="Times New Roman"/>
          <w:b w:val="0"/>
          <w:color w:val="666666"/>
          <w:sz w:val="20"/>
          <w:szCs w:val="20"/>
        </w:rPr>
        <w:t xml:space="preserve"> Консулт“ ЕООД по схеми „Училищен плод“ и „Училищно мляко“ за учебните 2018/2019 и 2019/2020 години и свързаните с това казуси, както и са описани предложения за последващи действия, и съответно са взети решения за част от тях. </w:t>
      </w:r>
    </w:p>
    <w:p w:rsidR="00E3439B" w:rsidRPr="00F832F3" w:rsidRDefault="00E3439B" w:rsidP="00F832F3">
      <w:pPr>
        <w:spacing w:after="0" w:line="240" w:lineRule="auto"/>
        <w:ind w:firstLine="284"/>
        <w:rPr>
          <w:rStyle w:val="Strong"/>
          <w:rFonts w:ascii="Times New Roman" w:hAnsi="Times New Roman" w:cs="Times New Roman"/>
          <w:b w:val="0"/>
          <w:color w:val="666666"/>
          <w:sz w:val="20"/>
          <w:szCs w:val="20"/>
        </w:rPr>
      </w:pPr>
    </w:p>
    <w:p w:rsidR="0040063F" w:rsidRPr="001D732A" w:rsidRDefault="0040063F" w:rsidP="0040063F">
      <w:pPr>
        <w:rPr>
          <w:rStyle w:val="Strong"/>
          <w:rFonts w:ascii="Arial" w:hAnsi="Arial" w:cs="Arial"/>
          <w:color w:val="666666"/>
          <w:sz w:val="24"/>
          <w:szCs w:val="24"/>
        </w:rPr>
      </w:pPr>
      <w:r w:rsidRPr="001D732A">
        <w:rPr>
          <w:rStyle w:val="Strong"/>
          <w:rFonts w:ascii="Arial" w:hAnsi="Arial" w:cs="Arial"/>
          <w:color w:val="666666"/>
          <w:sz w:val="24"/>
          <w:szCs w:val="24"/>
        </w:rPr>
        <w:t>Ресори „Технически инспекторат" и „Краткосрочни схеми за подпомагане"</w:t>
      </w:r>
    </w:p>
    <w:p w:rsidR="001D732A" w:rsidRPr="001D732A" w:rsidRDefault="001D732A" w:rsidP="001D732A">
      <w:pPr>
        <w:tabs>
          <w:tab w:val="left" w:pos="720"/>
          <w:tab w:val="left" w:pos="9000"/>
        </w:tabs>
        <w:autoSpaceDE w:val="0"/>
        <w:autoSpaceDN w:val="0"/>
        <w:adjustRightInd w:val="0"/>
        <w:spacing w:after="0" w:line="240" w:lineRule="auto"/>
        <w:ind w:firstLine="284"/>
        <w:jc w:val="both"/>
        <w:rPr>
          <w:rFonts w:ascii="Times New Roman" w:hAnsi="Times New Roman" w:cs="Times New Roman"/>
          <w:color w:val="000000"/>
          <w:sz w:val="20"/>
          <w:szCs w:val="20"/>
        </w:rPr>
      </w:pPr>
      <w:r w:rsidRPr="001D732A">
        <w:rPr>
          <w:rFonts w:ascii="Times New Roman" w:hAnsi="Times New Roman" w:cs="Times New Roman"/>
          <w:color w:val="000000"/>
          <w:sz w:val="20"/>
          <w:szCs w:val="20"/>
        </w:rPr>
        <w:t>В периода 2020г до 11.06.2021 г. дирекция „Технически инспекторат“ е извършила общо 24 884 хиляди проверки, по всички схеми и мерки, като в това число 2671 броя за 2021 г.</w:t>
      </w:r>
    </w:p>
    <w:p w:rsidR="001D732A" w:rsidRPr="001D732A" w:rsidRDefault="001D732A" w:rsidP="001D732A">
      <w:pPr>
        <w:tabs>
          <w:tab w:val="left" w:pos="720"/>
          <w:tab w:val="left" w:pos="9000"/>
        </w:tabs>
        <w:autoSpaceDE w:val="0"/>
        <w:autoSpaceDN w:val="0"/>
        <w:adjustRightInd w:val="0"/>
        <w:spacing w:after="0" w:line="240" w:lineRule="auto"/>
        <w:ind w:firstLine="284"/>
        <w:jc w:val="both"/>
        <w:rPr>
          <w:rFonts w:ascii="Times New Roman" w:hAnsi="Times New Roman" w:cs="Times New Roman"/>
          <w:color w:val="000000"/>
          <w:sz w:val="20"/>
          <w:szCs w:val="20"/>
        </w:rPr>
      </w:pPr>
      <w:r w:rsidRPr="001D732A">
        <w:rPr>
          <w:rFonts w:ascii="Times New Roman" w:hAnsi="Times New Roman" w:cs="Times New Roman"/>
          <w:color w:val="000000"/>
          <w:sz w:val="20"/>
          <w:szCs w:val="20"/>
        </w:rPr>
        <w:t xml:space="preserve">От началото на годината са разгледани 156 броя жалби  от отдел „Контролни проверки“ и 91 броя от отдел „Дистанционно проучване“. </w:t>
      </w:r>
    </w:p>
    <w:p w:rsidR="001D732A" w:rsidRPr="001D732A" w:rsidRDefault="001D732A" w:rsidP="001D732A">
      <w:pPr>
        <w:autoSpaceDE w:val="0"/>
        <w:autoSpaceDN w:val="0"/>
        <w:adjustRightInd w:val="0"/>
        <w:spacing w:after="0" w:line="240" w:lineRule="auto"/>
        <w:ind w:firstLine="284"/>
        <w:jc w:val="both"/>
        <w:rPr>
          <w:rFonts w:ascii="Times New Roman" w:hAnsi="Times New Roman" w:cs="Times New Roman"/>
          <w:color w:val="000000"/>
          <w:sz w:val="20"/>
          <w:szCs w:val="20"/>
        </w:rPr>
      </w:pPr>
      <w:r w:rsidRPr="001D732A">
        <w:rPr>
          <w:rFonts w:ascii="Times New Roman" w:hAnsi="Times New Roman" w:cs="Times New Roman"/>
          <w:color w:val="000000"/>
          <w:sz w:val="20"/>
          <w:szCs w:val="20"/>
        </w:rPr>
        <w:t>Дирекцията участва в работна група, съвместно с МЗХГ, по отношение на контрола по обвързана подкрепа, съгласно чл.31, т.3 от Наредба 3, както и в работна група във връзка с разглеждане на възражения по обвързана подкрепа за плодове и зеленчуци;</w:t>
      </w:r>
    </w:p>
    <w:p w:rsidR="001D732A" w:rsidRPr="001D732A" w:rsidRDefault="001D732A" w:rsidP="001D732A">
      <w:pPr>
        <w:tabs>
          <w:tab w:val="left" w:pos="720"/>
          <w:tab w:val="left" w:pos="9000"/>
        </w:tabs>
        <w:autoSpaceDE w:val="0"/>
        <w:autoSpaceDN w:val="0"/>
        <w:adjustRightInd w:val="0"/>
        <w:spacing w:after="0" w:line="240" w:lineRule="auto"/>
        <w:ind w:firstLine="284"/>
        <w:jc w:val="both"/>
        <w:rPr>
          <w:rFonts w:ascii="Times New Roman" w:hAnsi="Times New Roman" w:cs="Times New Roman"/>
          <w:color w:val="000000"/>
          <w:sz w:val="20"/>
          <w:szCs w:val="20"/>
        </w:rPr>
      </w:pPr>
      <w:r w:rsidRPr="001D732A">
        <w:rPr>
          <w:rFonts w:ascii="Times New Roman" w:hAnsi="Times New Roman" w:cs="Times New Roman"/>
          <w:color w:val="000000"/>
          <w:sz w:val="20"/>
          <w:szCs w:val="20"/>
        </w:rPr>
        <w:t>В кратък аспект предстои:</w:t>
      </w:r>
    </w:p>
    <w:p w:rsidR="001D732A" w:rsidRPr="001D732A" w:rsidRDefault="001D732A" w:rsidP="001D732A">
      <w:pPr>
        <w:tabs>
          <w:tab w:val="left" w:pos="426"/>
          <w:tab w:val="left" w:pos="9000"/>
        </w:tabs>
        <w:autoSpaceDE w:val="0"/>
        <w:autoSpaceDN w:val="0"/>
        <w:adjustRightInd w:val="0"/>
        <w:spacing w:after="0" w:line="240" w:lineRule="auto"/>
        <w:ind w:left="142" w:firstLine="284"/>
        <w:jc w:val="both"/>
        <w:rPr>
          <w:rFonts w:ascii="Times New Roman" w:hAnsi="Times New Roman" w:cs="Times New Roman"/>
          <w:color w:val="000000"/>
          <w:sz w:val="20"/>
          <w:szCs w:val="20"/>
        </w:rPr>
      </w:pPr>
      <w:r w:rsidRPr="001D732A">
        <w:rPr>
          <w:rFonts w:ascii="Symbol" w:hAnsi="Symbol" w:cs="Symbol"/>
          <w:color w:val="000000"/>
          <w:sz w:val="20"/>
          <w:szCs w:val="20"/>
        </w:rPr>
        <w:t></w:t>
      </w:r>
      <w:r>
        <w:rPr>
          <w:rFonts w:ascii="Symbol" w:hAnsi="Symbol" w:cs="Symbol"/>
          <w:color w:val="000000"/>
          <w:sz w:val="20"/>
          <w:szCs w:val="20"/>
        </w:rPr>
        <w:t></w:t>
      </w:r>
      <w:r w:rsidRPr="001D732A">
        <w:rPr>
          <w:rFonts w:ascii="Times New Roman" w:hAnsi="Times New Roman" w:cs="Times New Roman"/>
          <w:color w:val="000000"/>
          <w:sz w:val="20"/>
          <w:szCs w:val="20"/>
        </w:rPr>
        <w:t>провеждане на работна среща с началник отделите на РТИ преди старта на кампания по директни плащания.</w:t>
      </w:r>
    </w:p>
    <w:p w:rsidR="001D732A" w:rsidRPr="001D732A" w:rsidRDefault="001D732A" w:rsidP="001D732A">
      <w:pPr>
        <w:tabs>
          <w:tab w:val="left" w:pos="426"/>
          <w:tab w:val="left" w:pos="9000"/>
        </w:tabs>
        <w:autoSpaceDE w:val="0"/>
        <w:autoSpaceDN w:val="0"/>
        <w:adjustRightInd w:val="0"/>
        <w:spacing w:after="0" w:line="240" w:lineRule="auto"/>
        <w:ind w:left="142" w:firstLine="284"/>
        <w:jc w:val="both"/>
        <w:rPr>
          <w:rFonts w:ascii="Times New Roman" w:hAnsi="Times New Roman" w:cs="Times New Roman"/>
          <w:color w:val="000000"/>
          <w:sz w:val="20"/>
          <w:szCs w:val="20"/>
        </w:rPr>
      </w:pPr>
      <w:r w:rsidRPr="001D732A">
        <w:rPr>
          <w:rFonts w:ascii="Symbol" w:hAnsi="Symbol" w:cs="Symbol"/>
          <w:color w:val="000000"/>
          <w:sz w:val="20"/>
          <w:szCs w:val="20"/>
        </w:rPr>
        <w:t></w:t>
      </w:r>
      <w:r>
        <w:rPr>
          <w:rFonts w:ascii="Symbol" w:hAnsi="Symbol" w:cs="Symbol"/>
          <w:color w:val="000000"/>
          <w:sz w:val="20"/>
          <w:szCs w:val="20"/>
        </w:rPr>
        <w:t></w:t>
      </w:r>
      <w:r w:rsidRPr="001D732A">
        <w:rPr>
          <w:rFonts w:ascii="Times New Roman" w:hAnsi="Times New Roman" w:cs="Times New Roman"/>
          <w:color w:val="000000"/>
          <w:sz w:val="20"/>
          <w:szCs w:val="20"/>
        </w:rPr>
        <w:t xml:space="preserve">годишно обучение на дирекцията преди старта на кампанията по активни проверки на място по схеми и мерки за директни плащания </w:t>
      </w:r>
    </w:p>
    <w:p w:rsidR="001D732A" w:rsidRPr="001D732A" w:rsidRDefault="001D732A" w:rsidP="001D732A">
      <w:pPr>
        <w:tabs>
          <w:tab w:val="left" w:pos="426"/>
        </w:tabs>
        <w:spacing w:after="0" w:line="240" w:lineRule="auto"/>
        <w:ind w:left="142" w:firstLine="284"/>
        <w:rPr>
          <w:rFonts w:ascii="Times New Roman" w:hAnsi="Times New Roman" w:cs="Times New Roman"/>
          <w:color w:val="000000"/>
          <w:sz w:val="20"/>
          <w:szCs w:val="20"/>
        </w:rPr>
      </w:pPr>
      <w:r w:rsidRPr="001D732A">
        <w:rPr>
          <w:rFonts w:ascii="Symbol" w:hAnsi="Symbol" w:cs="Symbol"/>
          <w:color w:val="000000"/>
          <w:sz w:val="20"/>
          <w:szCs w:val="20"/>
        </w:rPr>
        <w:t></w:t>
      </w:r>
      <w:r>
        <w:rPr>
          <w:rFonts w:ascii="Symbol" w:hAnsi="Symbol" w:cs="Symbol"/>
          <w:color w:val="000000"/>
          <w:sz w:val="20"/>
          <w:szCs w:val="20"/>
        </w:rPr>
        <w:t></w:t>
      </w:r>
      <w:r w:rsidRPr="001D732A">
        <w:rPr>
          <w:rFonts w:ascii="Times New Roman" w:hAnsi="Times New Roman" w:cs="Times New Roman"/>
          <w:color w:val="000000"/>
          <w:sz w:val="20"/>
          <w:szCs w:val="20"/>
        </w:rPr>
        <w:t>стартиране на кампания по директни плащания;</w:t>
      </w:r>
    </w:p>
    <w:p w:rsidR="001D732A" w:rsidRPr="0040063F" w:rsidRDefault="001D732A" w:rsidP="001D732A">
      <w:pPr>
        <w:rPr>
          <w:rFonts w:ascii="Arial" w:hAnsi="Arial" w:cs="Arial"/>
          <w:b/>
          <w:bCs/>
          <w:color w:val="666666"/>
          <w:sz w:val="20"/>
          <w:szCs w:val="20"/>
        </w:rPr>
      </w:pPr>
    </w:p>
    <w:p w:rsidR="000A44E2" w:rsidRPr="00007BF9" w:rsidRDefault="0040063F" w:rsidP="0040063F">
      <w:pPr>
        <w:rPr>
          <w:rStyle w:val="Strong"/>
          <w:rFonts w:ascii="Arial" w:hAnsi="Arial" w:cs="Arial"/>
          <w:color w:val="666666"/>
          <w:sz w:val="24"/>
          <w:szCs w:val="24"/>
        </w:rPr>
      </w:pPr>
      <w:r w:rsidRPr="00007BF9">
        <w:rPr>
          <w:rStyle w:val="Strong"/>
          <w:rFonts w:ascii="Arial" w:hAnsi="Arial" w:cs="Arial"/>
          <w:color w:val="666666"/>
          <w:sz w:val="24"/>
          <w:szCs w:val="24"/>
        </w:rPr>
        <w:t>Ресори „Директни плащания на площ“ и „Информационни технологии“</w:t>
      </w:r>
    </w:p>
    <w:p w:rsidR="00007BF9" w:rsidRPr="00007BF9" w:rsidRDefault="00007BF9" w:rsidP="00007BF9">
      <w:pPr>
        <w:spacing w:after="0" w:line="240" w:lineRule="auto"/>
        <w:ind w:firstLine="426"/>
        <w:jc w:val="both"/>
        <w:rPr>
          <w:rFonts w:ascii="Times New Roman" w:hAnsi="Times New Roman" w:cs="Times New Roman"/>
          <w:bCs/>
          <w:sz w:val="20"/>
          <w:szCs w:val="20"/>
        </w:rPr>
      </w:pPr>
      <w:r w:rsidRPr="00007BF9">
        <w:rPr>
          <w:rFonts w:ascii="Times New Roman" w:hAnsi="Times New Roman" w:cs="Times New Roman"/>
          <w:bCs/>
          <w:sz w:val="20"/>
          <w:szCs w:val="20"/>
        </w:rPr>
        <w:t>Системата на ДФЗ – РА се състои от публична част (предоставяща информация за свободен достъп) и персонална част, достъпна след извършване на регистрация на профил от страна на земеделски стопани или упълномощени лица. Към настоящият момент в СЕУ са одобрени 22 580 бр. заявки за достъп на външни потребители, чрез които е осигурен достъп информация до масивите от данни по заявленията на 28 299 бр. бенефициенти на ДФЗ.</w:t>
      </w:r>
    </w:p>
    <w:p w:rsidR="00007BF9" w:rsidRPr="00007BF9" w:rsidRDefault="00007BF9" w:rsidP="00007BF9">
      <w:pPr>
        <w:spacing w:after="0" w:line="240" w:lineRule="auto"/>
        <w:ind w:firstLine="426"/>
        <w:jc w:val="both"/>
        <w:rPr>
          <w:rFonts w:ascii="Times New Roman" w:hAnsi="Times New Roman" w:cs="Times New Roman"/>
          <w:bCs/>
          <w:sz w:val="20"/>
          <w:szCs w:val="20"/>
        </w:rPr>
      </w:pPr>
      <w:r w:rsidRPr="00007BF9">
        <w:rPr>
          <w:rFonts w:ascii="Times New Roman" w:hAnsi="Times New Roman" w:cs="Times New Roman"/>
          <w:bCs/>
          <w:sz w:val="20"/>
          <w:szCs w:val="20"/>
        </w:rPr>
        <w:t>Чрез различните функционалности в системата, на земеделските стопани е осигурен достъп до широк спектър от данни свързани с администрирането на подадените от тях заявления по директни плащания, в това число и предоставяне от тяхна страна на регистрирани по електронен път данни за заявления за участие по чл. 1 от Наредба №5 от 2009 г. за условията и реда за подаване на заявления по схеми и мерки в Системата за електронни услуги (СЕУ) на Държавен фонд „Земеделие“. Най-голям интерес от страна на кандидатите за подпомагане се наблюдава към следните модули в СЕУ:</w:t>
      </w:r>
    </w:p>
    <w:p w:rsidR="00007BF9" w:rsidRPr="00007BF9" w:rsidRDefault="00007BF9" w:rsidP="00007BF9">
      <w:pPr>
        <w:pStyle w:val="ListParagraph"/>
        <w:numPr>
          <w:ilvl w:val="0"/>
          <w:numId w:val="4"/>
        </w:numPr>
        <w:spacing w:after="0" w:line="240" w:lineRule="auto"/>
        <w:ind w:left="0" w:firstLine="426"/>
        <w:jc w:val="both"/>
        <w:rPr>
          <w:rFonts w:ascii="Times New Roman" w:hAnsi="Times New Roman" w:cs="Times New Roman"/>
          <w:bCs/>
          <w:sz w:val="20"/>
          <w:szCs w:val="20"/>
        </w:rPr>
      </w:pPr>
      <w:r w:rsidRPr="00007BF9">
        <w:rPr>
          <w:rFonts w:ascii="Times New Roman" w:hAnsi="Times New Roman" w:cs="Times New Roman"/>
          <w:bCs/>
          <w:sz w:val="20"/>
          <w:szCs w:val="20"/>
        </w:rPr>
        <w:t>Възможността за изтегляне по електронен път на цифрови данни за декларирани парцели и фермерски блокове и списъци на карти (от подадените заявления);</w:t>
      </w:r>
    </w:p>
    <w:p w:rsidR="00007BF9" w:rsidRPr="00007BF9" w:rsidRDefault="00007BF9" w:rsidP="00007BF9">
      <w:pPr>
        <w:pStyle w:val="ListParagraph"/>
        <w:numPr>
          <w:ilvl w:val="0"/>
          <w:numId w:val="4"/>
        </w:numPr>
        <w:spacing w:after="0" w:line="240" w:lineRule="auto"/>
        <w:ind w:left="0" w:firstLine="426"/>
        <w:jc w:val="both"/>
        <w:rPr>
          <w:rFonts w:ascii="Times New Roman" w:hAnsi="Times New Roman" w:cs="Times New Roman"/>
          <w:bCs/>
          <w:sz w:val="20"/>
          <w:szCs w:val="20"/>
        </w:rPr>
      </w:pPr>
      <w:r w:rsidRPr="00007BF9">
        <w:rPr>
          <w:rFonts w:ascii="Times New Roman" w:hAnsi="Times New Roman" w:cs="Times New Roman"/>
          <w:bCs/>
          <w:sz w:val="20"/>
          <w:szCs w:val="20"/>
        </w:rPr>
        <w:t>Получаване на уведомителни писма – подписани по електронен път;</w:t>
      </w:r>
    </w:p>
    <w:p w:rsidR="00007BF9" w:rsidRPr="00007BF9" w:rsidRDefault="00007BF9" w:rsidP="00007BF9">
      <w:pPr>
        <w:pStyle w:val="ListParagraph"/>
        <w:numPr>
          <w:ilvl w:val="0"/>
          <w:numId w:val="4"/>
        </w:numPr>
        <w:spacing w:after="0" w:line="240" w:lineRule="auto"/>
        <w:ind w:left="0" w:firstLine="426"/>
        <w:jc w:val="both"/>
        <w:rPr>
          <w:rFonts w:ascii="Times New Roman" w:hAnsi="Times New Roman" w:cs="Times New Roman"/>
          <w:bCs/>
          <w:sz w:val="20"/>
          <w:szCs w:val="20"/>
        </w:rPr>
      </w:pPr>
      <w:r w:rsidRPr="00007BF9">
        <w:rPr>
          <w:rFonts w:ascii="Times New Roman" w:hAnsi="Times New Roman" w:cs="Times New Roman"/>
          <w:bCs/>
          <w:sz w:val="20"/>
          <w:szCs w:val="20"/>
        </w:rPr>
        <w:t>Извършване на справки по отношение на констатирани двойно декларирани площи, състояние на заявления с ИСАК, данни от ИАСРЖ и Национални паркове по смисъла на ЗЗТ, информация за пресичания на КИ с Декларирани БЗС и др.;</w:t>
      </w:r>
    </w:p>
    <w:p w:rsidR="00007BF9" w:rsidRPr="00007BF9" w:rsidRDefault="00007BF9" w:rsidP="00007BF9">
      <w:pPr>
        <w:pStyle w:val="ListParagraph"/>
        <w:numPr>
          <w:ilvl w:val="0"/>
          <w:numId w:val="4"/>
        </w:numPr>
        <w:spacing w:after="0" w:line="240" w:lineRule="auto"/>
        <w:ind w:left="0" w:firstLine="426"/>
        <w:jc w:val="both"/>
        <w:rPr>
          <w:rFonts w:ascii="Times New Roman" w:hAnsi="Times New Roman" w:cs="Times New Roman"/>
          <w:bCs/>
          <w:sz w:val="20"/>
          <w:szCs w:val="20"/>
        </w:rPr>
      </w:pPr>
      <w:r w:rsidRPr="00007BF9">
        <w:rPr>
          <w:rFonts w:ascii="Times New Roman" w:hAnsi="Times New Roman" w:cs="Times New Roman"/>
          <w:bCs/>
          <w:sz w:val="20"/>
          <w:szCs w:val="20"/>
        </w:rPr>
        <w:t>Генериране на възражения за декларирани парцели с разлики спрямо слой "Площи допустими за подпомагане" и слой "Физически блокове";</w:t>
      </w:r>
    </w:p>
    <w:p w:rsidR="00007BF9" w:rsidRPr="00007BF9" w:rsidRDefault="00007BF9" w:rsidP="00007BF9">
      <w:pPr>
        <w:pStyle w:val="ListParagraph"/>
        <w:numPr>
          <w:ilvl w:val="0"/>
          <w:numId w:val="4"/>
        </w:numPr>
        <w:spacing w:after="0" w:line="240" w:lineRule="auto"/>
        <w:ind w:left="0" w:firstLine="426"/>
        <w:jc w:val="both"/>
        <w:rPr>
          <w:rFonts w:ascii="Times New Roman" w:hAnsi="Times New Roman" w:cs="Times New Roman"/>
          <w:bCs/>
          <w:sz w:val="20"/>
          <w:szCs w:val="20"/>
        </w:rPr>
      </w:pPr>
      <w:r w:rsidRPr="00007BF9">
        <w:rPr>
          <w:rFonts w:ascii="Times New Roman" w:hAnsi="Times New Roman" w:cs="Times New Roman"/>
          <w:bCs/>
          <w:sz w:val="20"/>
          <w:szCs w:val="20"/>
        </w:rPr>
        <w:t>Извършване на справки за оторизирани суми по направление Директни плащания (в лева) и извършени плащания по направление Директни плащания (в лева)</w:t>
      </w:r>
    </w:p>
    <w:p w:rsidR="00007BF9" w:rsidRPr="00007BF9" w:rsidRDefault="00007BF9" w:rsidP="00007BF9">
      <w:pPr>
        <w:spacing w:after="0" w:line="240" w:lineRule="auto"/>
        <w:ind w:firstLine="426"/>
        <w:jc w:val="both"/>
        <w:rPr>
          <w:rFonts w:ascii="Times New Roman" w:hAnsi="Times New Roman" w:cs="Times New Roman"/>
          <w:bCs/>
          <w:sz w:val="20"/>
          <w:szCs w:val="20"/>
        </w:rPr>
      </w:pPr>
    </w:p>
    <w:p w:rsidR="00007BF9" w:rsidRPr="00007BF9" w:rsidRDefault="00007BF9" w:rsidP="00007BF9">
      <w:pPr>
        <w:spacing w:after="0" w:line="240" w:lineRule="auto"/>
        <w:ind w:firstLine="426"/>
        <w:jc w:val="both"/>
        <w:rPr>
          <w:rFonts w:ascii="Times New Roman" w:hAnsi="Times New Roman" w:cs="Times New Roman"/>
          <w:bCs/>
          <w:sz w:val="20"/>
          <w:szCs w:val="20"/>
        </w:rPr>
      </w:pPr>
      <w:r w:rsidRPr="00007BF9">
        <w:rPr>
          <w:rFonts w:ascii="Times New Roman" w:hAnsi="Times New Roman" w:cs="Times New Roman"/>
          <w:bCs/>
          <w:sz w:val="20"/>
          <w:szCs w:val="20"/>
        </w:rPr>
        <w:t>С оглед постоянното развитие на системата, подобряване на комуникацията с земеделските стопани и в отговор на завишените обществени очаквания за осигуряване на голям обем от електронни услуги, ДФ „Земеделие“ предвижда разработка на допълнителни функционалности в системата за електронни услуги свързани с директните плащания в личните профили на кандидатите и публичната й част:</w:t>
      </w:r>
    </w:p>
    <w:p w:rsidR="00007BF9" w:rsidRPr="00007BF9" w:rsidRDefault="00007BF9" w:rsidP="00007BF9">
      <w:pPr>
        <w:spacing w:after="0" w:line="240" w:lineRule="auto"/>
        <w:ind w:firstLine="426"/>
        <w:jc w:val="both"/>
        <w:rPr>
          <w:rFonts w:ascii="Times New Roman" w:hAnsi="Times New Roman" w:cs="Times New Roman"/>
          <w:bCs/>
          <w:sz w:val="20"/>
          <w:szCs w:val="20"/>
        </w:rPr>
      </w:pPr>
    </w:p>
    <w:p w:rsidR="00007BF9" w:rsidRPr="00007BF9" w:rsidRDefault="00007BF9" w:rsidP="00007BF9">
      <w:pPr>
        <w:pStyle w:val="ListParagraph"/>
        <w:numPr>
          <w:ilvl w:val="0"/>
          <w:numId w:val="5"/>
        </w:numPr>
        <w:spacing w:after="0" w:line="240" w:lineRule="auto"/>
        <w:ind w:left="0" w:firstLine="426"/>
        <w:jc w:val="both"/>
        <w:rPr>
          <w:rFonts w:ascii="Times New Roman" w:hAnsi="Times New Roman" w:cs="Times New Roman"/>
          <w:bCs/>
          <w:sz w:val="20"/>
          <w:szCs w:val="20"/>
        </w:rPr>
      </w:pPr>
      <w:r w:rsidRPr="00007BF9">
        <w:rPr>
          <w:rFonts w:ascii="Times New Roman" w:hAnsi="Times New Roman" w:cs="Times New Roman"/>
          <w:bCs/>
          <w:sz w:val="20"/>
          <w:szCs w:val="20"/>
        </w:rPr>
        <w:t xml:space="preserve">Визуализиране в СЕУ на подробна информация относно формирането на подпомагането по отделните схеми и мерки от единното заявление, в това число – размер на санкциите, редукциите и намаленията (като допълнение към справката за Оторизирани суми по направление Директни плащания (в лева)). </w:t>
      </w:r>
    </w:p>
    <w:p w:rsidR="00007BF9" w:rsidRPr="00007BF9" w:rsidRDefault="00007BF9" w:rsidP="00007BF9">
      <w:pPr>
        <w:pStyle w:val="ListParagraph"/>
        <w:numPr>
          <w:ilvl w:val="0"/>
          <w:numId w:val="5"/>
        </w:numPr>
        <w:spacing w:after="0" w:line="240" w:lineRule="auto"/>
        <w:ind w:left="0" w:firstLine="426"/>
        <w:jc w:val="both"/>
        <w:rPr>
          <w:rFonts w:ascii="Times New Roman" w:hAnsi="Times New Roman" w:cs="Times New Roman"/>
          <w:bCs/>
          <w:sz w:val="20"/>
          <w:szCs w:val="20"/>
        </w:rPr>
      </w:pPr>
      <w:r w:rsidRPr="00007BF9">
        <w:rPr>
          <w:rFonts w:ascii="Times New Roman" w:hAnsi="Times New Roman" w:cs="Times New Roman"/>
          <w:bCs/>
          <w:sz w:val="20"/>
          <w:szCs w:val="20"/>
        </w:rPr>
        <w:t>С цел фермерите да получат по добра информираност относно основните етапи при обработката на заявленията им, ще бъдат публикувани данни относно извършваните проверки по всяко едно заявление (вкл. административни проверки, проверки на място и такива чрез осъществени чрез методи за дистанционен контрол);</w:t>
      </w:r>
    </w:p>
    <w:p w:rsidR="00007BF9" w:rsidRPr="00007BF9" w:rsidRDefault="00007BF9" w:rsidP="00007BF9">
      <w:pPr>
        <w:pStyle w:val="ListParagraph"/>
        <w:numPr>
          <w:ilvl w:val="0"/>
          <w:numId w:val="5"/>
        </w:numPr>
        <w:spacing w:after="0" w:line="240" w:lineRule="auto"/>
        <w:ind w:left="0" w:firstLine="426"/>
        <w:jc w:val="both"/>
        <w:rPr>
          <w:rFonts w:ascii="Times New Roman" w:hAnsi="Times New Roman" w:cs="Times New Roman"/>
          <w:bCs/>
          <w:sz w:val="20"/>
          <w:szCs w:val="20"/>
        </w:rPr>
      </w:pPr>
      <w:r w:rsidRPr="00007BF9">
        <w:rPr>
          <w:rFonts w:ascii="Times New Roman" w:hAnsi="Times New Roman" w:cs="Times New Roman"/>
          <w:bCs/>
          <w:sz w:val="20"/>
          <w:szCs w:val="20"/>
        </w:rPr>
        <w:t xml:space="preserve">Публикуване на данни с резултатите от извършените проверки на място по заявленията на кандидатите извършени от дирекция „Технически инспекторат“ при ДФЗ –РА; </w:t>
      </w:r>
    </w:p>
    <w:p w:rsidR="00007BF9" w:rsidRPr="0040063F" w:rsidRDefault="00007BF9" w:rsidP="0040063F">
      <w:pPr>
        <w:pStyle w:val="ListParagraph"/>
        <w:numPr>
          <w:ilvl w:val="0"/>
          <w:numId w:val="5"/>
        </w:numPr>
        <w:tabs>
          <w:tab w:val="left" w:pos="916"/>
        </w:tabs>
        <w:spacing w:after="0" w:line="240" w:lineRule="auto"/>
        <w:ind w:left="0" w:firstLine="426"/>
        <w:jc w:val="both"/>
      </w:pPr>
      <w:r w:rsidRPr="000B738F">
        <w:rPr>
          <w:rFonts w:ascii="Times New Roman" w:hAnsi="Times New Roman" w:cs="Times New Roman"/>
          <w:bCs/>
          <w:sz w:val="20"/>
          <w:szCs w:val="20"/>
        </w:rPr>
        <w:t>Своевременно публикуване на информация за установени опожарени земеделски площи, в това число и получени в резултат от взаимодействието на ДФЗ - РА с други институции и организации.</w:t>
      </w:r>
    </w:p>
    <w:sectPr w:rsidR="00007BF9" w:rsidRPr="0040063F" w:rsidSect="00007BF9">
      <w:pgSz w:w="11906" w:h="16838"/>
      <w:pgMar w:top="0" w:right="991"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00E0"/>
    <w:multiLevelType w:val="hybridMultilevel"/>
    <w:tmpl w:val="87EC1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DA00D77"/>
    <w:multiLevelType w:val="hybridMultilevel"/>
    <w:tmpl w:val="CCECF2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8E27E8C"/>
    <w:multiLevelType w:val="hybridMultilevel"/>
    <w:tmpl w:val="7670450E"/>
    <w:lvl w:ilvl="0" w:tplc="DFCE62FA">
      <w:start w:val="1"/>
      <w:numFmt w:val="decimal"/>
      <w:lvlText w:val="%1."/>
      <w:lvlJc w:val="left"/>
      <w:pPr>
        <w:ind w:left="708" w:hanging="360"/>
      </w:pPr>
      <w:rPr>
        <w:rFonts w:hint="default"/>
      </w:rPr>
    </w:lvl>
    <w:lvl w:ilvl="1" w:tplc="04020019" w:tentative="1">
      <w:start w:val="1"/>
      <w:numFmt w:val="lowerLetter"/>
      <w:lvlText w:val="%2."/>
      <w:lvlJc w:val="left"/>
      <w:pPr>
        <w:ind w:left="1428" w:hanging="360"/>
      </w:pPr>
    </w:lvl>
    <w:lvl w:ilvl="2" w:tplc="0402001B" w:tentative="1">
      <w:start w:val="1"/>
      <w:numFmt w:val="lowerRoman"/>
      <w:lvlText w:val="%3."/>
      <w:lvlJc w:val="right"/>
      <w:pPr>
        <w:ind w:left="2148" w:hanging="180"/>
      </w:pPr>
    </w:lvl>
    <w:lvl w:ilvl="3" w:tplc="0402000F" w:tentative="1">
      <w:start w:val="1"/>
      <w:numFmt w:val="decimal"/>
      <w:lvlText w:val="%4."/>
      <w:lvlJc w:val="left"/>
      <w:pPr>
        <w:ind w:left="2868" w:hanging="360"/>
      </w:pPr>
    </w:lvl>
    <w:lvl w:ilvl="4" w:tplc="04020019" w:tentative="1">
      <w:start w:val="1"/>
      <w:numFmt w:val="lowerLetter"/>
      <w:lvlText w:val="%5."/>
      <w:lvlJc w:val="left"/>
      <w:pPr>
        <w:ind w:left="3588" w:hanging="360"/>
      </w:pPr>
    </w:lvl>
    <w:lvl w:ilvl="5" w:tplc="0402001B" w:tentative="1">
      <w:start w:val="1"/>
      <w:numFmt w:val="lowerRoman"/>
      <w:lvlText w:val="%6."/>
      <w:lvlJc w:val="right"/>
      <w:pPr>
        <w:ind w:left="4308" w:hanging="180"/>
      </w:pPr>
    </w:lvl>
    <w:lvl w:ilvl="6" w:tplc="0402000F" w:tentative="1">
      <w:start w:val="1"/>
      <w:numFmt w:val="decimal"/>
      <w:lvlText w:val="%7."/>
      <w:lvlJc w:val="left"/>
      <w:pPr>
        <w:ind w:left="5028" w:hanging="360"/>
      </w:pPr>
    </w:lvl>
    <w:lvl w:ilvl="7" w:tplc="04020019" w:tentative="1">
      <w:start w:val="1"/>
      <w:numFmt w:val="lowerLetter"/>
      <w:lvlText w:val="%8."/>
      <w:lvlJc w:val="left"/>
      <w:pPr>
        <w:ind w:left="5748" w:hanging="360"/>
      </w:pPr>
    </w:lvl>
    <w:lvl w:ilvl="8" w:tplc="0402001B" w:tentative="1">
      <w:start w:val="1"/>
      <w:numFmt w:val="lowerRoman"/>
      <w:lvlText w:val="%9."/>
      <w:lvlJc w:val="right"/>
      <w:pPr>
        <w:ind w:left="6468" w:hanging="180"/>
      </w:pPr>
    </w:lvl>
  </w:abstractNum>
  <w:abstractNum w:abstractNumId="3" w15:restartNumberingAfterBreak="0">
    <w:nsid w:val="697441CD"/>
    <w:multiLevelType w:val="hybridMultilevel"/>
    <w:tmpl w:val="61241AA4"/>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15:restartNumberingAfterBreak="0">
    <w:nsid w:val="69D55918"/>
    <w:multiLevelType w:val="hybridMultilevel"/>
    <w:tmpl w:val="893AE0BE"/>
    <w:lvl w:ilvl="0" w:tplc="5CA0EA92">
      <w:start w:val="3"/>
      <w:numFmt w:val="bullet"/>
      <w:lvlText w:val="-"/>
      <w:lvlJc w:val="left"/>
      <w:pPr>
        <w:ind w:left="786" w:hanging="360"/>
      </w:pPr>
      <w:rPr>
        <w:rFonts w:ascii="Times New Roman" w:eastAsiaTheme="minorHAns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40"/>
    <w:rsid w:val="00007BF9"/>
    <w:rsid w:val="000A44E2"/>
    <w:rsid w:val="000B19CA"/>
    <w:rsid w:val="000B738F"/>
    <w:rsid w:val="00152C11"/>
    <w:rsid w:val="001D732A"/>
    <w:rsid w:val="00384C8F"/>
    <w:rsid w:val="0040063F"/>
    <w:rsid w:val="004D0FCB"/>
    <w:rsid w:val="005E1B07"/>
    <w:rsid w:val="00601C40"/>
    <w:rsid w:val="00A7799A"/>
    <w:rsid w:val="00E06B02"/>
    <w:rsid w:val="00E3439B"/>
    <w:rsid w:val="00F832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81F71-D6EB-4990-82CD-35853BE1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A44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44E2"/>
    <w:rPr>
      <w:i/>
      <w:iCs/>
      <w:color w:val="5B9BD5" w:themeColor="accent1"/>
    </w:rPr>
  </w:style>
  <w:style w:type="character" w:styleId="Strong">
    <w:name w:val="Strong"/>
    <w:basedOn w:val="DefaultParagraphFont"/>
    <w:uiPriority w:val="22"/>
    <w:qFormat/>
    <w:rsid w:val="0040063F"/>
    <w:rPr>
      <w:b/>
      <w:bCs/>
    </w:rPr>
  </w:style>
  <w:style w:type="paragraph" w:styleId="ListParagraph">
    <w:name w:val="List Paragraph"/>
    <w:basedOn w:val="Normal"/>
    <w:uiPriority w:val="34"/>
    <w:qFormat/>
    <w:rsid w:val="00E3439B"/>
    <w:pPr>
      <w:ind w:left="720"/>
      <w:contextualSpacing/>
    </w:pPr>
  </w:style>
  <w:style w:type="table" w:styleId="TableGrid">
    <w:name w:val="Table Grid"/>
    <w:basedOn w:val="TableNormal"/>
    <w:uiPriority w:val="59"/>
    <w:rsid w:val="00E3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funds.bg/archive/documents/1423147813.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Stoyanov Atanasov</dc:creator>
  <cp:keywords/>
  <dc:description/>
  <cp:lastModifiedBy>Ivet Petkova Mitkova</cp:lastModifiedBy>
  <cp:revision>2</cp:revision>
  <cp:lastPrinted>2021-06-25T13:20:00Z</cp:lastPrinted>
  <dcterms:created xsi:type="dcterms:W3CDTF">2021-06-25T13:56:00Z</dcterms:created>
  <dcterms:modified xsi:type="dcterms:W3CDTF">2021-06-25T13:56:00Z</dcterms:modified>
</cp:coreProperties>
</file>