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6B" w:rsidRPr="00341EFA" w:rsidRDefault="002E576B" w:rsidP="002E576B">
      <w:pPr>
        <w:jc w:val="center"/>
        <w:rPr>
          <w:lang w:val="bg-BG"/>
        </w:rPr>
      </w:pPr>
      <w:r w:rsidRPr="00341EFA">
        <w:rPr>
          <w:lang w:val="bg-BG"/>
        </w:rPr>
        <w:t>Име на интервенцията: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1EFA" w:rsidRPr="00341EFA" w:rsidTr="007F6563">
        <w:trPr>
          <w:trHeight w:val="622"/>
        </w:trPr>
        <w:tc>
          <w:tcPr>
            <w:tcW w:w="9242" w:type="dxa"/>
            <w:shd w:val="clear" w:color="auto" w:fill="B8CCE4" w:themeFill="accent1" w:themeFillTint="66"/>
          </w:tcPr>
          <w:p w:rsidR="002E576B" w:rsidRPr="00341EFA" w:rsidRDefault="00341EFA" w:rsidP="002E576B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341EFA">
              <w:rPr>
                <w:b/>
                <w:sz w:val="24"/>
                <w:szCs w:val="24"/>
                <w:lang w:val="bg-BG"/>
              </w:rPr>
              <w:t>Член 64, б. „г</w:t>
            </w:r>
            <w:r w:rsidR="009B2ED1" w:rsidRPr="00341EFA">
              <w:rPr>
                <w:b/>
                <w:sz w:val="24"/>
                <w:szCs w:val="24"/>
                <w:lang w:val="bg-BG"/>
              </w:rPr>
              <w:t xml:space="preserve">“ - </w:t>
            </w:r>
            <w:r w:rsidRPr="00341EFA">
              <w:rPr>
                <w:b/>
                <w:sz w:val="24"/>
                <w:szCs w:val="24"/>
                <w:lang w:val="bg-BG"/>
              </w:rPr>
              <w:t>Инвестиции</w:t>
            </w:r>
          </w:p>
        </w:tc>
      </w:tr>
    </w:tbl>
    <w:p w:rsidR="002E576B" w:rsidRPr="00341EFA" w:rsidRDefault="002E576B" w:rsidP="002E576B">
      <w:pPr>
        <w:jc w:val="center"/>
        <w:rPr>
          <w:lang w:val="bg-BG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41EFA" w:rsidRPr="00341EFA" w:rsidTr="00252CFE">
        <w:tc>
          <w:tcPr>
            <w:tcW w:w="2943" w:type="dxa"/>
            <w:shd w:val="clear" w:color="auto" w:fill="B8CCE4" w:themeFill="accent1" w:themeFillTint="66"/>
          </w:tcPr>
          <w:p w:rsidR="002E576B" w:rsidRPr="00341EFA" w:rsidRDefault="002E576B" w:rsidP="002E576B">
            <w:pPr>
              <w:ind w:right="1711"/>
              <w:rPr>
                <w:b/>
                <w:lang w:val="bg-BG"/>
              </w:rPr>
            </w:pPr>
            <w:r w:rsidRPr="00341EFA">
              <w:rPr>
                <w:b/>
                <w:lang w:val="bg-BG"/>
              </w:rPr>
              <w:t>Фонд</w:t>
            </w:r>
          </w:p>
        </w:tc>
        <w:tc>
          <w:tcPr>
            <w:tcW w:w="6379" w:type="dxa"/>
          </w:tcPr>
          <w:p w:rsidR="002E576B" w:rsidRPr="00341EFA" w:rsidRDefault="009B2ED1" w:rsidP="002E576B">
            <w:pPr>
              <w:jc w:val="center"/>
              <w:rPr>
                <w:lang w:val="bg-BG"/>
              </w:rPr>
            </w:pPr>
            <w:r w:rsidRPr="00341EFA">
              <w:rPr>
                <w:sz w:val="24"/>
                <w:szCs w:val="24"/>
                <w:lang w:val="bg-BG"/>
              </w:rPr>
              <w:t>Европейски земеделски фонд за развитие на селските райони (ЕЗФРСР)</w:t>
            </w:r>
          </w:p>
        </w:tc>
      </w:tr>
      <w:tr w:rsidR="00341EFA" w:rsidRPr="00341EFA" w:rsidTr="00252CFE">
        <w:tc>
          <w:tcPr>
            <w:tcW w:w="2943" w:type="dxa"/>
            <w:shd w:val="clear" w:color="auto" w:fill="B8CCE4" w:themeFill="accent1" w:themeFillTint="66"/>
            <w:vAlign w:val="center"/>
          </w:tcPr>
          <w:p w:rsidR="002E576B" w:rsidRPr="00341EFA" w:rsidRDefault="002E576B" w:rsidP="00BC2D56">
            <w:pPr>
              <w:rPr>
                <w:b/>
              </w:rPr>
            </w:pPr>
            <w:r w:rsidRPr="00341EFA">
              <w:rPr>
                <w:b/>
                <w:lang w:val="bg-BG"/>
              </w:rPr>
              <w:t>Тип на интервенцията</w:t>
            </w:r>
          </w:p>
        </w:tc>
        <w:tc>
          <w:tcPr>
            <w:tcW w:w="6379" w:type="dxa"/>
            <w:vAlign w:val="center"/>
          </w:tcPr>
          <w:p w:rsidR="002E576B" w:rsidRPr="00341EFA" w:rsidRDefault="00341EFA" w:rsidP="009B2ED1">
            <w:pPr>
              <w:jc w:val="center"/>
              <w:rPr>
                <w:lang w:val="bg-BG"/>
              </w:rPr>
            </w:pPr>
            <w:r w:rsidRPr="00341EFA">
              <w:rPr>
                <w:sz w:val="24"/>
                <w:szCs w:val="24"/>
                <w:lang w:val="bg-BG"/>
              </w:rPr>
              <w:t>Инвестиции в земеделските стопанства</w:t>
            </w:r>
          </w:p>
        </w:tc>
      </w:tr>
      <w:tr w:rsidR="00341EFA" w:rsidRPr="00341EFA" w:rsidTr="00252CFE">
        <w:tc>
          <w:tcPr>
            <w:tcW w:w="2943" w:type="dxa"/>
            <w:shd w:val="clear" w:color="auto" w:fill="B8CCE4" w:themeFill="accent1" w:themeFillTint="66"/>
            <w:vAlign w:val="center"/>
          </w:tcPr>
          <w:p w:rsidR="002E576B" w:rsidRPr="00341EFA" w:rsidRDefault="002E576B" w:rsidP="002E576B">
            <w:pPr>
              <w:rPr>
                <w:b/>
              </w:rPr>
            </w:pPr>
            <w:r w:rsidRPr="00341EFA">
              <w:rPr>
                <w:b/>
                <w:lang w:val="bg-BG"/>
              </w:rPr>
              <w:t>Териториален обхват</w:t>
            </w:r>
            <w:r w:rsidR="004D47EE" w:rsidRPr="00341EFA">
              <w:rPr>
                <w:b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2E576B" w:rsidRPr="00341EFA" w:rsidRDefault="00A7344D" w:rsidP="009B2ED1">
            <w:pPr>
              <w:jc w:val="center"/>
              <w:rPr>
                <w:sz w:val="24"/>
                <w:szCs w:val="24"/>
                <w:lang w:val="bg-BG"/>
              </w:rPr>
            </w:pPr>
            <w:r w:rsidRPr="00341EFA">
              <w:rPr>
                <w:sz w:val="24"/>
                <w:szCs w:val="24"/>
                <w:lang w:val="bg-BG"/>
              </w:rPr>
              <w:t>Дейностите по проектите се осъществят на територията на Република България.</w:t>
            </w:r>
          </w:p>
        </w:tc>
      </w:tr>
      <w:tr w:rsidR="00341EFA" w:rsidRPr="00341EFA" w:rsidTr="00252CFE">
        <w:tc>
          <w:tcPr>
            <w:tcW w:w="2943" w:type="dxa"/>
            <w:shd w:val="clear" w:color="auto" w:fill="B8CCE4" w:themeFill="accent1" w:themeFillTint="66"/>
            <w:vAlign w:val="center"/>
          </w:tcPr>
          <w:p w:rsidR="002E576B" w:rsidRPr="00341EFA" w:rsidRDefault="002E576B" w:rsidP="002E576B">
            <w:pPr>
              <w:rPr>
                <w:b/>
                <w:lang w:val="bg-BG"/>
              </w:rPr>
            </w:pPr>
            <w:r w:rsidRPr="00341EFA">
              <w:rPr>
                <w:b/>
                <w:lang w:val="bg-BG"/>
              </w:rPr>
              <w:t>Свързани специфични цели и където е релевантно, секторни приоритети</w:t>
            </w:r>
          </w:p>
        </w:tc>
        <w:tc>
          <w:tcPr>
            <w:tcW w:w="6379" w:type="dxa"/>
            <w:vAlign w:val="center"/>
          </w:tcPr>
          <w:p w:rsidR="009B2ED1" w:rsidRDefault="009B2ED1" w:rsidP="009B2ED1">
            <w:pPr>
              <w:jc w:val="center"/>
              <w:rPr>
                <w:sz w:val="24"/>
                <w:szCs w:val="24"/>
                <w:lang w:val="bg-BG"/>
              </w:rPr>
            </w:pPr>
            <w:r w:rsidRPr="00341EFA">
              <w:rPr>
                <w:sz w:val="24"/>
                <w:szCs w:val="24"/>
                <w:lang w:val="bg-BG"/>
              </w:rPr>
              <w:t xml:space="preserve">Типа на интервенцията е пряко свързан със </w:t>
            </w:r>
            <w:r w:rsidR="00341EFA" w:rsidRPr="00341EFA">
              <w:rPr>
                <w:sz w:val="24"/>
                <w:szCs w:val="24"/>
                <w:lang w:val="bg-BG"/>
              </w:rPr>
              <w:t>Специфична цел 2</w:t>
            </w:r>
            <w:r w:rsidR="00567D49" w:rsidRPr="00341EFA">
              <w:rPr>
                <w:sz w:val="24"/>
                <w:szCs w:val="24"/>
                <w:lang w:val="bg-BG"/>
              </w:rPr>
              <w:t xml:space="preserve"> </w:t>
            </w:r>
            <w:r w:rsidR="00341EFA" w:rsidRPr="00341EFA">
              <w:rPr>
                <w:sz w:val="24"/>
                <w:szCs w:val="24"/>
                <w:lang w:val="bg-BG"/>
              </w:rPr>
              <w:t>„Засилване на пазарната ориентация и повишаване на конкурентоспособността, включително поставяне на по-голям акцент върху научните изследвания, технологиите и цифровизацията“</w:t>
            </w:r>
          </w:p>
          <w:p w:rsidR="00922D4C" w:rsidRPr="00341EFA" w:rsidRDefault="00922D4C" w:rsidP="009B2ED1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341EFA" w:rsidRPr="00341EFA" w:rsidTr="00252CFE">
        <w:tc>
          <w:tcPr>
            <w:tcW w:w="2943" w:type="dxa"/>
            <w:shd w:val="clear" w:color="auto" w:fill="B8CCE4" w:themeFill="accent1" w:themeFillTint="66"/>
            <w:vAlign w:val="center"/>
          </w:tcPr>
          <w:p w:rsidR="002E576B" w:rsidRPr="00183468" w:rsidRDefault="002E576B" w:rsidP="002E576B">
            <w:pPr>
              <w:rPr>
                <w:b/>
                <w:lang w:val="bg-BG"/>
              </w:rPr>
            </w:pPr>
            <w:r w:rsidRPr="00183468">
              <w:rPr>
                <w:b/>
                <w:lang w:val="bg-BG"/>
              </w:rPr>
              <w:t>Индикатори за резултат</w:t>
            </w:r>
            <w:r w:rsidR="00F22043" w:rsidRPr="00183468">
              <w:rPr>
                <w:b/>
                <w:lang w:val="bg-BG"/>
              </w:rPr>
              <w:t xml:space="preserve"> </w:t>
            </w:r>
            <w:r w:rsidR="00F22043" w:rsidRPr="00183468">
              <w:rPr>
                <w:b/>
                <w:sz w:val="20"/>
                <w:szCs w:val="20"/>
                <w:lang w:val="bg-BG"/>
              </w:rPr>
              <w:t>(</w:t>
            </w:r>
            <w:r w:rsidR="00F22043" w:rsidRPr="00183468">
              <w:rPr>
                <w:b/>
                <w:i/>
                <w:sz w:val="20"/>
                <w:szCs w:val="20"/>
                <w:lang w:val="bg-BG"/>
              </w:rPr>
              <w:t>най-малко един</w:t>
            </w:r>
            <w:r w:rsidR="00F22043" w:rsidRPr="00183468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379" w:type="dxa"/>
            <w:vAlign w:val="center"/>
          </w:tcPr>
          <w:p w:rsidR="002E576B" w:rsidRPr="00183468" w:rsidRDefault="00183468" w:rsidP="002E576B">
            <w:pPr>
              <w:jc w:val="center"/>
              <w:rPr>
                <w:lang w:val="bg-BG"/>
              </w:rPr>
            </w:pPr>
            <w:r w:rsidRPr="00183468">
              <w:rPr>
                <w:sz w:val="24"/>
                <w:szCs w:val="24"/>
                <w:lang w:val="bg-BG"/>
              </w:rPr>
              <w:t>O.18 Брой подпомагани производствени инвестиционни операции в земеделското стопанство или единици, получаващи подкрепа по ЕЗФРСР</w:t>
            </w:r>
          </w:p>
        </w:tc>
      </w:tr>
      <w:tr w:rsidR="00341EFA" w:rsidRPr="00341EFA" w:rsidTr="00252CFE">
        <w:tc>
          <w:tcPr>
            <w:tcW w:w="2943" w:type="dxa"/>
            <w:shd w:val="clear" w:color="auto" w:fill="B8CCE4" w:themeFill="accent1" w:themeFillTint="66"/>
            <w:vAlign w:val="center"/>
          </w:tcPr>
          <w:p w:rsidR="002E576B" w:rsidRPr="00341EFA" w:rsidRDefault="002E576B" w:rsidP="002E576B">
            <w:pPr>
              <w:rPr>
                <w:b/>
                <w:lang w:val="bg-BG"/>
              </w:rPr>
            </w:pPr>
            <w:r w:rsidRPr="00341EFA">
              <w:rPr>
                <w:b/>
                <w:lang w:val="bg-BG"/>
              </w:rPr>
              <w:t>Допустими бенефициенти</w:t>
            </w:r>
          </w:p>
        </w:tc>
        <w:tc>
          <w:tcPr>
            <w:tcW w:w="6379" w:type="dxa"/>
            <w:vAlign w:val="center"/>
          </w:tcPr>
          <w:p w:rsidR="002E576B" w:rsidRPr="00341EFA" w:rsidRDefault="002E576B" w:rsidP="002E576B">
            <w:pPr>
              <w:jc w:val="center"/>
              <w:rPr>
                <w:lang w:val="bg-BG"/>
              </w:rPr>
            </w:pPr>
          </w:p>
          <w:p w:rsidR="002E576B" w:rsidRPr="00341EFA" w:rsidRDefault="00EF0963" w:rsidP="002E576B">
            <w:pPr>
              <w:jc w:val="center"/>
              <w:rPr>
                <w:sz w:val="24"/>
                <w:szCs w:val="24"/>
                <w:lang w:val="bg-BG"/>
              </w:rPr>
            </w:pPr>
            <w:r w:rsidRPr="00341EFA">
              <w:rPr>
                <w:sz w:val="24"/>
                <w:szCs w:val="24"/>
                <w:lang w:val="bg-BG"/>
              </w:rPr>
              <w:t>З</w:t>
            </w:r>
            <w:r w:rsidR="009E4383" w:rsidRPr="00341EFA">
              <w:rPr>
                <w:sz w:val="24"/>
                <w:szCs w:val="24"/>
                <w:lang w:val="bg-BG"/>
              </w:rPr>
              <w:t>емеделски стопани</w:t>
            </w:r>
            <w:r w:rsidR="00A44DE8">
              <w:rPr>
                <w:sz w:val="24"/>
                <w:szCs w:val="24"/>
                <w:lang w:val="bg-BG"/>
              </w:rPr>
              <w:t>, Признати групи или организации на производители</w:t>
            </w:r>
          </w:p>
          <w:p w:rsidR="002E576B" w:rsidRPr="00341EFA" w:rsidRDefault="002E576B" w:rsidP="002E576B">
            <w:pPr>
              <w:jc w:val="center"/>
              <w:rPr>
                <w:lang w:val="bg-BG"/>
              </w:rPr>
            </w:pPr>
          </w:p>
        </w:tc>
      </w:tr>
    </w:tbl>
    <w:p w:rsidR="002E576B" w:rsidRPr="00341EFA" w:rsidRDefault="002E576B" w:rsidP="002E576B">
      <w:pPr>
        <w:jc w:val="center"/>
        <w:rPr>
          <w:color w:val="FF0000"/>
        </w:rPr>
      </w:pPr>
    </w:p>
    <w:p w:rsidR="005F556B" w:rsidRPr="000A4AC1" w:rsidRDefault="004D583C" w:rsidP="0046113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bg-BG"/>
        </w:rPr>
      </w:pPr>
      <w:r w:rsidRPr="000A4AC1">
        <w:rPr>
          <w:b/>
          <w:lang w:val="bg-BG"/>
        </w:rPr>
        <w:t>Описание на дизайна на</w:t>
      </w:r>
      <w:r w:rsidR="008A7C31" w:rsidRPr="000A4AC1">
        <w:rPr>
          <w:b/>
          <w:lang w:val="bg-BG"/>
        </w:rPr>
        <w:t xml:space="preserve"> </w:t>
      </w:r>
      <w:r w:rsidRPr="000A4AC1">
        <w:rPr>
          <w:b/>
          <w:lang w:val="bg-BG"/>
        </w:rPr>
        <w:t xml:space="preserve">интервенцията;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4AC1" w:rsidRPr="000A4AC1" w:rsidTr="005F556B">
        <w:tc>
          <w:tcPr>
            <w:tcW w:w="9242" w:type="dxa"/>
          </w:tcPr>
          <w:p w:rsidR="009F37FE" w:rsidRDefault="000118B5" w:rsidP="0069192B">
            <w:pPr>
              <w:jc w:val="both"/>
              <w:rPr>
                <w:lang w:val="bg-BG"/>
              </w:rPr>
            </w:pPr>
            <w:r w:rsidRPr="000A4AC1">
              <w:rPr>
                <w:lang w:val="bg-BG"/>
              </w:rPr>
              <w:t>Развитието на БДС от земеделие е функция на различни фактори, но най-важните са структурата на производство, производителността, стопанската структура, цените на продукцията, маркетинга, производствените разходи, капитализацията, икономическото състояние на производствените единици и др.</w:t>
            </w:r>
            <w:r w:rsidR="007B2E52" w:rsidRPr="000A4AC1">
              <w:rPr>
                <w:lang w:val="bg-BG"/>
              </w:rPr>
              <w:t xml:space="preserve"> </w:t>
            </w:r>
            <w:r w:rsidRPr="000A4AC1">
              <w:rPr>
                <w:lang w:val="bg-BG"/>
              </w:rPr>
              <w:t>Земеделското производство в България се характеризира с ниска конкурентоспособност,  намаляване на производството и ниска добавена стойност, което е най-ясно изразено в секторите производство на зеленчуци, плодове, мляко и месо от преживни животни.</w:t>
            </w:r>
          </w:p>
          <w:p w:rsidR="008B1A3A" w:rsidRDefault="008B1A3A" w:rsidP="0069192B">
            <w:pPr>
              <w:jc w:val="both"/>
              <w:rPr>
                <w:lang w:val="bg-BG"/>
              </w:rPr>
            </w:pPr>
          </w:p>
          <w:p w:rsidR="008B1A3A" w:rsidRDefault="0069192B" w:rsidP="0069192B">
            <w:pPr>
              <w:jc w:val="both"/>
              <w:rPr>
                <w:lang w:val="bg-BG"/>
              </w:rPr>
            </w:pPr>
            <w:r w:rsidRPr="000A4AC1">
              <w:rPr>
                <w:lang w:val="bg-BG"/>
              </w:rPr>
              <w:t xml:space="preserve">Зеленчукопроизводството в страната се отличава с рязко свиване на  брутната продукция и намаляване на добавената стойност през периода 2007-2016 г, което се дължи на ниската възвръщаемост и занижена нормата на печалба. Основната причина за това е разпокъсаното и сравнително дребно производство, неспособно да постигне по-висока производителност, проблеми с напояването, липсата на съвременна техника, недостигът на работна ръка, липсата на организираност и затруднен достъп до пазара. </w:t>
            </w:r>
          </w:p>
          <w:p w:rsidR="008B1A3A" w:rsidRDefault="0069192B" w:rsidP="0069192B">
            <w:pPr>
              <w:jc w:val="both"/>
              <w:rPr>
                <w:lang w:val="bg-BG"/>
              </w:rPr>
            </w:pPr>
            <w:r w:rsidRPr="000A4AC1">
              <w:rPr>
                <w:lang w:val="bg-BG"/>
              </w:rPr>
              <w:t>В овощарството също се наблюдава непрекъснато намаление на брутната продукция и добавената стойност през годините на прилагане на ОСП.  Стопанската структура в този сектор  е влошена, като в средния клас по икономически размер са само около 10% о</w:t>
            </w:r>
            <w:r w:rsidR="007B2E52" w:rsidRPr="000A4AC1">
              <w:rPr>
                <w:lang w:val="bg-BG"/>
              </w:rPr>
              <w:t>т специализираните стопанства. Недобрата</w:t>
            </w:r>
            <w:r w:rsidRPr="000A4AC1">
              <w:rPr>
                <w:lang w:val="bg-BG"/>
              </w:rPr>
              <w:t xml:space="preserve"> хидромелиоративна система води да силна зависимост на производството на български плодове от климатичните фактори и до неустойчиво производство през годините. </w:t>
            </w:r>
          </w:p>
          <w:p w:rsidR="008B1A3A" w:rsidRDefault="0069192B" w:rsidP="0069192B">
            <w:pPr>
              <w:jc w:val="both"/>
              <w:rPr>
                <w:lang w:val="bg-BG"/>
              </w:rPr>
            </w:pPr>
            <w:r w:rsidRPr="000A4AC1">
              <w:rPr>
                <w:lang w:val="bg-BG"/>
              </w:rPr>
              <w:t>В същото време, все по-важна роля в конкурентните условия започват да играят способността на производителя да разполага с нови технологии и иновативни решения, позволяващи му производство на продукция с нови качества и при по-добри ценови характеристики.</w:t>
            </w:r>
            <w:r w:rsidR="007B2E52" w:rsidRPr="000A4AC1">
              <w:rPr>
                <w:lang w:val="bg-BG"/>
              </w:rPr>
              <w:t xml:space="preserve"> </w:t>
            </w:r>
          </w:p>
          <w:p w:rsidR="008B1A3A" w:rsidRDefault="0069192B" w:rsidP="0069192B">
            <w:pPr>
              <w:jc w:val="both"/>
              <w:rPr>
                <w:lang w:val="bg-BG"/>
              </w:rPr>
            </w:pPr>
            <w:r w:rsidRPr="000A4AC1">
              <w:rPr>
                <w:lang w:val="bg-BG"/>
              </w:rPr>
              <w:t xml:space="preserve">Млечното животновъдство в страна се характеризира с намаляване на поголовието и обема на </w:t>
            </w:r>
            <w:r w:rsidR="009C5446" w:rsidRPr="000A4AC1">
              <w:rPr>
                <w:lang w:val="bg-BG"/>
              </w:rPr>
              <w:lastRenderedPageBreak/>
              <w:t>производството</w:t>
            </w:r>
            <w:r w:rsidR="00CE04CA" w:rsidRPr="000A4AC1">
              <w:rPr>
                <w:lang w:val="bg-BG"/>
              </w:rPr>
              <w:t>.</w:t>
            </w:r>
            <w:r w:rsidRPr="000A4AC1">
              <w:rPr>
                <w:lang w:val="bg-BG"/>
              </w:rPr>
              <w:t xml:space="preserve"> Липсата на ефективен размер на стопанствата, който да гарантира икономии от мащаба, добра производителност, стабилна възвращаемост е една от причините за влошеното състояние на сектора. </w:t>
            </w:r>
          </w:p>
          <w:p w:rsidR="009F37FE" w:rsidRDefault="0069192B" w:rsidP="0069192B">
            <w:pPr>
              <w:jc w:val="both"/>
              <w:rPr>
                <w:lang w:val="bg-BG"/>
              </w:rPr>
            </w:pPr>
            <w:r w:rsidRPr="000A4AC1">
              <w:rPr>
                <w:lang w:val="bg-BG"/>
              </w:rPr>
              <w:t>Подобно е състоянието и в месодайното говедовъдство, където икономическият потенциал на специализираните стопанства намалява през периода, а същинското угояване на животни е застъпено в много малък процент и то преобладаващо в специализираните стопанства с типични месодайни породи.</w:t>
            </w:r>
          </w:p>
          <w:p w:rsidR="009F37FE" w:rsidRDefault="009F37FE" w:rsidP="00D70C7C">
            <w:pPr>
              <w:jc w:val="both"/>
              <w:rPr>
                <w:lang w:val="bg-BG"/>
              </w:rPr>
            </w:pPr>
            <w:r w:rsidRPr="00503804">
              <w:rPr>
                <w:lang w:val="bg-BG"/>
              </w:rPr>
              <w:t>Т</w:t>
            </w:r>
            <w:r w:rsidRPr="00D70C7C">
              <w:rPr>
                <w:lang w:val="bg-BG"/>
              </w:rPr>
              <w:t xml:space="preserve">енденции в развитието на секторите производство на зеленчуци, плодове и преживно животновъдство обуславят необходимостта от целенасочена подкрепа за преодоляване на основните предизвикателства в тези сектори, което би довело до увеличение на тяхната конкурентоспособност. </w:t>
            </w:r>
          </w:p>
          <w:p w:rsidR="000825A9" w:rsidRDefault="000825A9" w:rsidP="00D70C7C">
            <w:pPr>
              <w:jc w:val="both"/>
              <w:rPr>
                <w:lang w:val="bg-BG"/>
              </w:rPr>
            </w:pPr>
          </w:p>
          <w:p w:rsidR="000825A9" w:rsidRPr="00D70C7C" w:rsidRDefault="000825A9" w:rsidP="00D70C7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От друга страна м</w:t>
            </w:r>
            <w:r w:rsidRPr="00DD0FDB">
              <w:rPr>
                <w:lang w:val="bg-BG"/>
              </w:rPr>
              <w:t>ного от индустриално отглежданите етерично-маслени култури предоставят добри възможности за диверсификация на специализираните в полските култури средни по размер стопанства, което е подкрепено и от подходящите почвено-климатични условия.</w:t>
            </w:r>
            <w:r>
              <w:rPr>
                <w:lang w:val="bg-BG"/>
              </w:rPr>
              <w:t xml:space="preserve"> </w:t>
            </w:r>
            <w:r w:rsidRPr="00D70C7C">
              <w:rPr>
                <w:lang w:val="bg-BG"/>
              </w:rPr>
              <w:t xml:space="preserve">Производството на розов цвят и масло е един от малкото сектори в страната, където площите се увеличават понастоящем в сравнение с годините преди 1990 г., което се дължи на добрата доходност, атрактивна изключително за малките </w:t>
            </w:r>
            <w:r w:rsidRPr="000825A9">
              <w:rPr>
                <w:lang w:val="bg-BG"/>
              </w:rPr>
              <w:t>и средни фамилни стопанства</w:t>
            </w:r>
            <w:r>
              <w:rPr>
                <w:lang w:val="bg-BG"/>
              </w:rPr>
              <w:t xml:space="preserve">, което от своя страна формира </w:t>
            </w:r>
            <w:r w:rsidRPr="00D70C7C">
              <w:rPr>
                <w:lang w:val="bg-BG"/>
              </w:rPr>
              <w:t xml:space="preserve">потенциал за допълнително развитие на веригата на стойността </w:t>
            </w:r>
            <w:r>
              <w:rPr>
                <w:lang w:val="bg-BG"/>
              </w:rPr>
              <w:t>особено</w:t>
            </w:r>
            <w:r w:rsidRPr="00D70C7C">
              <w:rPr>
                <w:lang w:val="bg-BG"/>
              </w:rPr>
              <w:t xml:space="preserve"> при по-добра интеграция на тези производства с парфюмерийната, козметична и фармацевтична индустрия, по-голяма част от създаваната стойност може да остава </w:t>
            </w:r>
            <w:r w:rsidRPr="00370445">
              <w:rPr>
                <w:lang w:val="bg-BG"/>
              </w:rPr>
              <w:t>в страната</w:t>
            </w:r>
          </w:p>
          <w:p w:rsidR="000825A9" w:rsidRPr="00D70C7C" w:rsidRDefault="000825A9" w:rsidP="00D70C7C">
            <w:pPr>
              <w:jc w:val="both"/>
              <w:rPr>
                <w:lang w:val="bg-BG"/>
              </w:rPr>
            </w:pPr>
          </w:p>
          <w:p w:rsidR="007B2E52" w:rsidRDefault="009F37FE" w:rsidP="0069192B">
            <w:pPr>
              <w:jc w:val="both"/>
              <w:rPr>
                <w:lang w:val="bg-BG"/>
              </w:rPr>
            </w:pPr>
            <w:r w:rsidRPr="009F37FE">
              <w:rPr>
                <w:lang w:val="bg-BG"/>
              </w:rPr>
              <w:t>В разглеждания период между 2007-2017 г. се наблюдава увеличаване дела на сектори, които изискват по-ниски вложения на единица площ, откъдето се получава и по-ниска възвращаемост. Нискоразходните на площ производства увеличават своя дял, там се постига подобряване на ефективността - с по-малко вложени ресурси се постига по-висок резултат.  От друга страна,  интензивните, с високи разходи на площ сектори в българското земеделие отбелязват регрес.</w:t>
            </w:r>
            <w:r>
              <w:rPr>
                <w:lang w:val="bg-BG"/>
              </w:rPr>
              <w:t xml:space="preserve"> </w:t>
            </w:r>
            <w:r w:rsidRPr="009F37FE">
              <w:rPr>
                <w:lang w:val="bg-BG"/>
              </w:rPr>
              <w:t>Ниската разходна интензивност в земеделието води до намаляване на добивите на земеделските стопани в резултат от използването на некачествени семена и посадъчен материал.</w:t>
            </w:r>
            <w:r>
              <w:rPr>
                <w:lang w:val="bg-BG"/>
              </w:rPr>
              <w:t xml:space="preserve"> </w:t>
            </w:r>
            <w:r w:rsidRPr="009F37FE">
              <w:rPr>
                <w:lang w:val="bg-BG"/>
              </w:rPr>
              <w:t>Използване на сертифицирани (качествени) семена и посадъчен материал, в съчетание с другите, определящи ефективното производство, фактори (техника, работна сила и т.н.), е предпоставка за произвеждане на конкурентоспособна продукция, с възможности за добра реализация на пазара.</w:t>
            </w:r>
          </w:p>
          <w:p w:rsidR="009F37FE" w:rsidRPr="000A4AC1" w:rsidRDefault="009F37FE" w:rsidP="0069192B">
            <w:pPr>
              <w:jc w:val="both"/>
              <w:rPr>
                <w:lang w:val="bg-BG"/>
              </w:rPr>
            </w:pPr>
          </w:p>
          <w:p w:rsidR="0069192B" w:rsidRDefault="00994D5D" w:rsidP="00F87784">
            <w:pPr>
              <w:jc w:val="both"/>
              <w:rPr>
                <w:lang w:val="bg-BG"/>
              </w:rPr>
            </w:pPr>
            <w:r w:rsidRPr="000A4AC1">
              <w:rPr>
                <w:lang w:val="bg-BG"/>
              </w:rPr>
              <w:t>От друга страна</w:t>
            </w:r>
            <w:r w:rsidR="0069192B" w:rsidRPr="000A4AC1">
              <w:rPr>
                <w:lang w:val="bg-BG"/>
              </w:rPr>
              <w:t xml:space="preserve"> съществуват много на брой относително малки и полупазарни стопанства, к</w:t>
            </w:r>
            <w:r w:rsidRPr="000A4AC1">
              <w:rPr>
                <w:lang w:val="bg-BG"/>
              </w:rPr>
              <w:t xml:space="preserve">оито имат потенциал за развитие. </w:t>
            </w:r>
            <w:r w:rsidR="00CE04CA" w:rsidRPr="000A4AC1">
              <w:rPr>
                <w:lang w:val="bg-BG"/>
              </w:rPr>
              <w:t xml:space="preserve">Разрастване на </w:t>
            </w:r>
            <w:r w:rsidR="0069192B" w:rsidRPr="000A4AC1">
              <w:rPr>
                <w:lang w:val="bg-BG"/>
              </w:rPr>
              <w:t>тяхното производство чрез подходяща публична подкрепа ще доведе до подсилване на групата от средните по размер стопанст</w:t>
            </w:r>
            <w:r w:rsidR="00CE04CA" w:rsidRPr="000A4AC1">
              <w:rPr>
                <w:lang w:val="bg-BG"/>
              </w:rPr>
              <w:t xml:space="preserve">ва, които са по-жизнеспособни. </w:t>
            </w:r>
            <w:r w:rsidR="00691CAF">
              <w:rPr>
                <w:lang w:val="bg-BG"/>
              </w:rPr>
              <w:t xml:space="preserve"> Чрез подпомагането на тези стопанства следва да се постигне </w:t>
            </w:r>
            <w:r w:rsidR="00503804">
              <w:rPr>
                <w:lang w:val="bg-BG"/>
              </w:rPr>
              <w:t xml:space="preserve">по – висока </w:t>
            </w:r>
            <w:r w:rsidR="00503804" w:rsidRPr="00E33877">
              <w:rPr>
                <w:lang w:val="bg-BG"/>
              </w:rPr>
              <w:t>производителност, възвращаемост и рентабилност</w:t>
            </w:r>
            <w:r w:rsidR="00503804">
              <w:rPr>
                <w:lang w:val="bg-BG"/>
              </w:rPr>
              <w:t xml:space="preserve">, която да гарантира повишаването на производителността и реализирането на икономии от мащаба. </w:t>
            </w:r>
          </w:p>
          <w:p w:rsidR="00691CAF" w:rsidRPr="000A4AC1" w:rsidRDefault="00691CAF" w:rsidP="00F87784">
            <w:pPr>
              <w:jc w:val="both"/>
              <w:rPr>
                <w:lang w:val="bg-BG"/>
              </w:rPr>
            </w:pPr>
          </w:p>
          <w:p w:rsidR="009F37FE" w:rsidRDefault="00CE04CA" w:rsidP="00F87784">
            <w:pPr>
              <w:jc w:val="both"/>
              <w:rPr>
                <w:lang w:val="bg-BG"/>
              </w:rPr>
            </w:pPr>
            <w:r w:rsidRPr="000A4AC1">
              <w:rPr>
                <w:lang w:val="bg-BG"/>
              </w:rPr>
              <w:t xml:space="preserve">За периода 2015-2017 г. </w:t>
            </w:r>
            <w:r w:rsidR="0069192B" w:rsidRPr="000A4AC1">
              <w:rPr>
                <w:lang w:val="bg-BG"/>
              </w:rPr>
              <w:t xml:space="preserve">факторната доходност към разходите за амортизации на основен капитал в България е около 13 евро на единица капиталов разход, докато в ЕС-28 този </w:t>
            </w:r>
            <w:r w:rsidRPr="000A4AC1">
              <w:rPr>
                <w:lang w:val="bg-BG"/>
              </w:rPr>
              <w:t>показател е 2,8 евро за единица, което показва</w:t>
            </w:r>
            <w:r w:rsidR="0069192B" w:rsidRPr="000A4AC1">
              <w:rPr>
                <w:lang w:val="bg-BG"/>
              </w:rPr>
              <w:t xml:space="preserve">, че нивата на капиталовите разходи у нас са много по-ниски отколкото в ЕС. Високото съотношение между факторна доходност и разходите за използване на капитала показва много по-ниската обезпеченост с техника и технологии в българското земеделие, което е </w:t>
            </w:r>
            <w:r w:rsidRPr="000A4AC1">
              <w:rPr>
                <w:lang w:val="bg-BG"/>
              </w:rPr>
              <w:t>пречка</w:t>
            </w:r>
            <w:r w:rsidR="0069192B" w:rsidRPr="000A4AC1">
              <w:rPr>
                <w:lang w:val="bg-BG"/>
              </w:rPr>
              <w:t xml:space="preserve"> за подобряване на продуктивността, производителността и оттам на конкурентоспособността на отрасъла.</w:t>
            </w:r>
            <w:r w:rsidRPr="000A4AC1">
              <w:rPr>
                <w:lang w:val="bg-BG"/>
              </w:rPr>
              <w:t xml:space="preserve"> </w:t>
            </w:r>
          </w:p>
          <w:p w:rsidR="00CE04CA" w:rsidRDefault="0069192B" w:rsidP="00F87784">
            <w:pPr>
              <w:jc w:val="both"/>
              <w:rPr>
                <w:lang w:val="bg-BG"/>
              </w:rPr>
            </w:pPr>
            <w:r w:rsidRPr="000A4AC1">
              <w:rPr>
                <w:lang w:val="bg-BG"/>
              </w:rPr>
              <w:t xml:space="preserve">Разходите за амортизации в българското земеделие растат през последните години, но са доста по-ниски от тези в ЕС, което се дължи на по-ниската капитализация и обезпеченост с дълготрайни материални активи, основно в малките и средни стопанства Тези класове стопанства са в затруднено положение, с недостиг на капиталов ресурс, за да разширят производството и да осъвременят производствените си мощности, за да увеличат </w:t>
            </w:r>
            <w:r w:rsidRPr="000A4AC1">
              <w:rPr>
                <w:lang w:val="bg-BG"/>
              </w:rPr>
              <w:lastRenderedPageBreak/>
              <w:t>продуктивността и да намалят зависимостта си от работна сила</w:t>
            </w:r>
            <w:r w:rsidR="00CE04CA" w:rsidRPr="000A4AC1">
              <w:rPr>
                <w:lang w:val="bg-BG"/>
              </w:rPr>
              <w:t xml:space="preserve">. </w:t>
            </w:r>
          </w:p>
          <w:p w:rsidR="0069192B" w:rsidRPr="000A4AC1" w:rsidRDefault="00CE04CA" w:rsidP="00F87784">
            <w:pPr>
              <w:jc w:val="both"/>
              <w:rPr>
                <w:lang w:val="bg-BG"/>
              </w:rPr>
            </w:pPr>
            <w:r w:rsidRPr="000A4AC1">
              <w:rPr>
                <w:lang w:val="bg-BG"/>
              </w:rPr>
              <w:t>Налице е необходимостта от внедряване на нови технологии и в средните стопанства, които са пазарно ориентирани и насочени към инвестиции и диверсификация на производствата.</w:t>
            </w:r>
          </w:p>
          <w:p w:rsidR="007B2E52" w:rsidRPr="000A4AC1" w:rsidRDefault="00CE04CA" w:rsidP="00F87784">
            <w:pPr>
              <w:jc w:val="both"/>
              <w:rPr>
                <w:lang w:val="bg-BG"/>
              </w:rPr>
            </w:pPr>
            <w:r w:rsidRPr="000A4AC1">
              <w:rPr>
                <w:lang w:val="bg-BG"/>
              </w:rPr>
              <w:t>От друга страна и</w:t>
            </w:r>
            <w:r w:rsidR="007B2E52" w:rsidRPr="000A4AC1">
              <w:rPr>
                <w:lang w:val="bg-BG"/>
              </w:rPr>
              <w:t xml:space="preserve">новациите и новите технологии,  включително в дигиталната област, се отличават с високи цени и високи разходи за внедряване. Големите и добре капитализирани стопанства са естествената целева група, където този тип земеделие най-лесно и бързо може да се развие. Тези стопанства могат да отговорят на условията за целесъобразност, ефективност и капацитет на посрещнати разходи по съфинансиране на иновативни технологии и модернизация на производството. </w:t>
            </w:r>
          </w:p>
          <w:p w:rsidR="005E111D" w:rsidRPr="000A4AC1" w:rsidRDefault="00994D5D" w:rsidP="005E111D">
            <w:pPr>
              <w:jc w:val="both"/>
              <w:rPr>
                <w:lang w:val="bg-BG"/>
              </w:rPr>
            </w:pPr>
            <w:r w:rsidRPr="000A4AC1">
              <w:rPr>
                <w:lang w:val="bg-BG"/>
              </w:rPr>
              <w:t xml:space="preserve">Поради затрудненията в осигуряването на работна ръка за селскостопанското производство трябва да се търсят възможности за автоматизация на работните процеси с цел увеличава производителността на животновъдните и растениевъдите стопанства. Това се налага поради трудното намиране на работна ръка в земеделските райони. При полските култури е идентифицирана необходимостта от инвестиции в модернизация на машини, инвентари, приложения и уеб-инструменти за цифровизация на земеделието. </w:t>
            </w:r>
          </w:p>
        </w:tc>
      </w:tr>
    </w:tbl>
    <w:p w:rsidR="005F556B" w:rsidRPr="00183468" w:rsidRDefault="005F556B" w:rsidP="005F556B">
      <w:pPr>
        <w:jc w:val="both"/>
        <w:rPr>
          <w:lang w:val="bg-BG"/>
        </w:rPr>
      </w:pPr>
    </w:p>
    <w:p w:rsidR="00BC2D56" w:rsidRPr="00183468" w:rsidRDefault="005F556B" w:rsidP="0046113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bg-BG"/>
        </w:rPr>
      </w:pPr>
      <w:r w:rsidRPr="00183468">
        <w:rPr>
          <w:b/>
          <w:lang w:val="bg-BG"/>
        </w:rPr>
        <w:t xml:space="preserve">Идентифициране на съответните базови елементи (напр. </w:t>
      </w:r>
      <w:r w:rsidR="004D47EE" w:rsidRPr="00183468">
        <w:rPr>
          <w:b/>
          <w:lang w:val="bg-BG"/>
        </w:rPr>
        <w:t xml:space="preserve">съответните </w:t>
      </w:r>
      <w:r w:rsidRPr="00183468">
        <w:rPr>
          <w:b/>
          <w:lang w:val="bg-BG"/>
        </w:rPr>
        <w:t>GAEC или нормативно установени изисквания за управление (SMR), където е приложимо, и обяснение за това как ангажиментите надхвърлят задължителните изисквания:</w:t>
      </w:r>
    </w:p>
    <w:p w:rsidR="005F556B" w:rsidRPr="00183468" w:rsidRDefault="00BC2D56" w:rsidP="005F556B">
      <w:pPr>
        <w:spacing w:line="240" w:lineRule="auto"/>
        <w:jc w:val="both"/>
        <w:rPr>
          <w:i/>
          <w:lang w:val="bg-BG"/>
        </w:rPr>
      </w:pPr>
      <w:r w:rsidRPr="00183468">
        <w:rPr>
          <w:i/>
          <w:lang w:val="bg-BG"/>
        </w:rPr>
        <w:t>/за интервенции в областта на околната среда и климата, артикулацията с изискванията за условност трябва да показват, че практиките се допълват и не се припокриват/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83468" w:rsidRPr="00183468" w:rsidTr="005F556B">
        <w:tc>
          <w:tcPr>
            <w:tcW w:w="9242" w:type="dxa"/>
          </w:tcPr>
          <w:p w:rsidR="005F556B" w:rsidRPr="00183468" w:rsidRDefault="005E111D" w:rsidP="005F556B">
            <w:pPr>
              <w:jc w:val="both"/>
              <w:rPr>
                <w:lang w:val="bg-BG"/>
              </w:rPr>
            </w:pPr>
            <w:r w:rsidRPr="00183468">
              <w:rPr>
                <w:lang w:val="bg-BG"/>
              </w:rPr>
              <w:t>Не приложимо за конкретния тип интервенция</w:t>
            </w:r>
            <w:r w:rsidR="004B5C67" w:rsidRPr="00183468">
              <w:rPr>
                <w:lang w:val="bg-BG"/>
              </w:rPr>
              <w:t xml:space="preserve"> </w:t>
            </w:r>
          </w:p>
        </w:tc>
      </w:tr>
    </w:tbl>
    <w:p w:rsidR="005F556B" w:rsidRPr="00341EFA" w:rsidRDefault="005F556B" w:rsidP="005F556B">
      <w:pPr>
        <w:spacing w:line="240" w:lineRule="auto"/>
        <w:jc w:val="both"/>
        <w:rPr>
          <w:b/>
          <w:color w:val="FF0000"/>
          <w:lang w:val="bg-BG"/>
        </w:rPr>
      </w:pPr>
    </w:p>
    <w:p w:rsidR="005F556B" w:rsidRPr="000552BA" w:rsidRDefault="005F556B" w:rsidP="0046113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bg-BG"/>
        </w:rPr>
      </w:pPr>
      <w:r w:rsidRPr="000552BA">
        <w:rPr>
          <w:b/>
          <w:lang w:val="bg-BG"/>
        </w:rPr>
        <w:t>Условия за допустимост: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556B" w:rsidRPr="00341EFA" w:rsidTr="005F556B">
        <w:tc>
          <w:tcPr>
            <w:tcW w:w="9242" w:type="dxa"/>
          </w:tcPr>
          <w:p w:rsidR="00F7170C" w:rsidRDefault="008C6273" w:rsidP="008C6273">
            <w:pPr>
              <w:jc w:val="both"/>
              <w:rPr>
                <w:b/>
                <w:lang w:val="bg-BG"/>
              </w:rPr>
            </w:pPr>
            <w:r w:rsidRPr="008C6273">
              <w:rPr>
                <w:b/>
                <w:lang w:val="bg-BG"/>
              </w:rPr>
              <w:t>Инвестициите</w:t>
            </w:r>
            <w:r>
              <w:rPr>
                <w:b/>
                <w:lang w:val="bg-BG"/>
              </w:rPr>
              <w:t xml:space="preserve"> допустими за подпомагане в рамките на интервенцията</w:t>
            </w:r>
            <w:r w:rsidRPr="008C6273">
              <w:rPr>
                <w:b/>
                <w:lang w:val="bg-BG"/>
              </w:rPr>
              <w:t xml:space="preserve"> трябва са свързани с производството на селскостопански продукти включени в приложение I на Дого</w:t>
            </w:r>
            <w:r>
              <w:rPr>
                <w:b/>
                <w:lang w:val="bg-BG"/>
              </w:rPr>
              <w:t>вора</w:t>
            </w:r>
            <w:r w:rsidR="00181E3D">
              <w:t xml:space="preserve"> </w:t>
            </w:r>
            <w:r w:rsidR="00181E3D" w:rsidRPr="00181E3D">
              <w:rPr>
                <w:b/>
                <w:lang w:val="bg-BG"/>
              </w:rPr>
              <w:t>за функционирането на Европейския съюз</w:t>
            </w:r>
            <w:r>
              <w:rPr>
                <w:b/>
                <w:lang w:val="bg-BG"/>
              </w:rPr>
              <w:t xml:space="preserve"> или памук, с изключение на </w:t>
            </w:r>
            <w:r w:rsidRPr="008C6273">
              <w:rPr>
                <w:b/>
                <w:lang w:val="bg-BG"/>
              </w:rPr>
              <w:t>риба и рибни продукти.</w:t>
            </w:r>
            <w:r w:rsidR="00391DBD">
              <w:rPr>
                <w:b/>
                <w:lang w:val="bg-BG"/>
              </w:rPr>
              <w:t xml:space="preserve"> </w:t>
            </w:r>
            <w:r w:rsidR="00F7170C">
              <w:rPr>
                <w:b/>
                <w:lang w:val="bg-BG"/>
              </w:rPr>
              <w:t>Допустимите за подпомагане дейности в рамките на интервенцията, могат да включват материални и нематериални инвестиции.</w:t>
            </w:r>
          </w:p>
          <w:p w:rsidR="007664F5" w:rsidRPr="007664F5" w:rsidRDefault="007664F5" w:rsidP="007664F5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>
              <w:rPr>
                <w:lang w:val="bg-BG"/>
              </w:rPr>
              <w:t>За инвестициите включени в проектното предложение</w:t>
            </w:r>
            <w:r w:rsidRPr="007664F5">
              <w:rPr>
                <w:lang w:val="bg-BG"/>
              </w:rPr>
              <w:t>, задължително ще се изисква положително решение за оценка за въздействието върху околната среда (ОВОС), освен в случаите, когато такава не се изисква от Закона за опазване на околната среда.</w:t>
            </w:r>
            <w:r>
              <w:rPr>
                <w:lang w:val="bg-BG"/>
              </w:rPr>
              <w:t xml:space="preserve"> В случай, на </w:t>
            </w:r>
            <w:r w:rsidRPr="007664F5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инвестиции </w:t>
            </w:r>
            <w:r w:rsidRPr="007664F5">
              <w:rPr>
                <w:lang w:val="bg-BG"/>
              </w:rPr>
              <w:t xml:space="preserve">попадащи в територии от Натура 2000, </w:t>
            </w:r>
            <w:r>
              <w:rPr>
                <w:lang w:val="bg-BG"/>
              </w:rPr>
              <w:t>същите трябва да</w:t>
            </w:r>
            <w:r w:rsidRPr="007664F5">
              <w:rPr>
                <w:lang w:val="bg-BG"/>
              </w:rPr>
              <w:t xml:space="preserve"> бъдат проверявани </w:t>
            </w:r>
            <w:r>
              <w:rPr>
                <w:lang w:val="bg-BG"/>
              </w:rPr>
              <w:t xml:space="preserve">и </w:t>
            </w:r>
            <w:r w:rsidRPr="007664F5">
              <w:rPr>
                <w:lang w:val="bg-BG"/>
              </w:rPr>
              <w:t>за съответствие с разпоредбите на Закона за биологичното разнообразие и съответните подзаконови нормативни актове за неговото прилагане.</w:t>
            </w:r>
          </w:p>
          <w:p w:rsidR="007664F5" w:rsidRDefault="007664F5" w:rsidP="00391DBD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7664F5">
              <w:rPr>
                <w:lang w:val="bg-BG"/>
              </w:rPr>
              <w:t>Материалните и нематериалните инвестиции включени в проектното предложение трябва да са в съответствие с параметрите и дейностите, обект на подпомагане</w:t>
            </w:r>
            <w:r>
              <w:rPr>
                <w:lang w:val="bg-BG"/>
              </w:rPr>
              <w:t xml:space="preserve"> и включени в разработения бизнес план</w:t>
            </w:r>
            <w:r w:rsidRPr="007664F5">
              <w:rPr>
                <w:lang w:val="bg-BG"/>
              </w:rPr>
              <w:t>;</w:t>
            </w:r>
          </w:p>
          <w:p w:rsidR="008C6273" w:rsidRPr="00391DBD" w:rsidRDefault="00391DBD" w:rsidP="00391DBD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391DBD">
              <w:rPr>
                <w:lang w:val="bg-BG"/>
              </w:rPr>
              <w:t>Инвестициите за напояване трябва да са в съответствие с Плана за управление на речните басейни /ПУРБ/ и трябва да са съвместими с постигането на добро състояние на водните обекти, съгласно Директива 2000/60/ЕО</w:t>
            </w:r>
            <w:r>
              <w:rPr>
                <w:lang w:val="bg-BG"/>
              </w:rPr>
              <w:t>;</w:t>
            </w:r>
          </w:p>
          <w:p w:rsidR="007664F5" w:rsidRDefault="007664F5" w:rsidP="007664F5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391DBD">
              <w:rPr>
                <w:lang w:val="bg-BG"/>
              </w:rPr>
              <w:t>Финансова помощ за инвестиции за постигане на съответствие с нововъведени стандарти на Съюза ще се предоставя, като с цел съобразяване с тези изисквания подпомагането може да бъде предоставено в рамките на 24 месеца от датата, на която изискванията стават задължит</w:t>
            </w:r>
            <w:r>
              <w:rPr>
                <w:lang w:val="bg-BG"/>
              </w:rPr>
              <w:t>елни за земеделските стопанства;</w:t>
            </w:r>
          </w:p>
          <w:p w:rsidR="00FE24B8" w:rsidRDefault="00FE24B8" w:rsidP="00DD2EB7">
            <w:pPr>
              <w:jc w:val="both"/>
              <w:rPr>
                <w:b/>
                <w:lang w:val="bg-BG"/>
              </w:rPr>
            </w:pPr>
          </w:p>
          <w:p w:rsidR="003B6722" w:rsidRDefault="003B6722" w:rsidP="00DD2EB7">
            <w:pPr>
              <w:jc w:val="both"/>
              <w:rPr>
                <w:b/>
                <w:lang w:val="bg-BG"/>
              </w:rPr>
            </w:pPr>
          </w:p>
          <w:p w:rsidR="00DD2EB7" w:rsidRPr="00B259E0" w:rsidRDefault="00DD2EB7" w:rsidP="00DD2EB7">
            <w:pPr>
              <w:jc w:val="both"/>
              <w:rPr>
                <w:b/>
                <w:lang w:val="bg-BG"/>
              </w:rPr>
            </w:pPr>
            <w:r w:rsidRPr="00B259E0">
              <w:rPr>
                <w:b/>
                <w:lang w:val="bg-BG"/>
              </w:rPr>
              <w:t>З</w:t>
            </w:r>
            <w:r w:rsidR="003A64ED" w:rsidRPr="00B259E0">
              <w:rPr>
                <w:b/>
                <w:lang w:val="bg-BG"/>
              </w:rPr>
              <w:t xml:space="preserve">емеделски </w:t>
            </w:r>
            <w:r w:rsidRPr="00B259E0">
              <w:rPr>
                <w:b/>
                <w:lang w:val="bg-BG"/>
              </w:rPr>
              <w:t>стопани допустими за</w:t>
            </w:r>
            <w:r w:rsidR="003A64ED" w:rsidRPr="00B259E0">
              <w:rPr>
                <w:b/>
                <w:lang w:val="bg-BG"/>
              </w:rPr>
              <w:t xml:space="preserve"> подпомагане трябва да отговаря</w:t>
            </w:r>
            <w:r w:rsidR="002D313F" w:rsidRPr="00B259E0">
              <w:rPr>
                <w:b/>
                <w:lang w:val="bg-BG"/>
              </w:rPr>
              <w:t>т</w:t>
            </w:r>
            <w:r w:rsidRPr="00B259E0">
              <w:rPr>
                <w:b/>
                <w:lang w:val="bg-BG"/>
              </w:rPr>
              <w:t xml:space="preserve"> и на следните условия:</w:t>
            </w:r>
          </w:p>
          <w:p w:rsidR="00FE24B8" w:rsidRDefault="003A64ED" w:rsidP="00F7170C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B259E0">
              <w:rPr>
                <w:lang w:val="bg-BG"/>
              </w:rPr>
              <w:t>д</w:t>
            </w:r>
            <w:r w:rsidR="00295805" w:rsidRPr="00B259E0">
              <w:rPr>
                <w:lang w:val="bg-BG"/>
              </w:rPr>
              <w:t>а са физически</w:t>
            </w:r>
            <w:r w:rsidR="00A44DE8" w:rsidRPr="00B259E0">
              <w:rPr>
                <w:lang w:val="bg-BG"/>
              </w:rPr>
              <w:t xml:space="preserve"> лица</w:t>
            </w:r>
            <w:r w:rsidRPr="00B259E0">
              <w:rPr>
                <w:lang w:val="bg-BG"/>
              </w:rPr>
              <w:t xml:space="preserve"> или</w:t>
            </w:r>
            <w:r w:rsidR="00FE24B8">
              <w:rPr>
                <w:lang w:val="bg-BG"/>
              </w:rPr>
              <w:t>;</w:t>
            </w:r>
          </w:p>
          <w:p w:rsidR="005F556B" w:rsidRPr="005E5E87" w:rsidRDefault="00FE24B8" w:rsidP="00F7170C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5E5E87">
              <w:rPr>
                <w:lang w:val="bg-BG"/>
              </w:rPr>
              <w:lastRenderedPageBreak/>
              <w:t xml:space="preserve">да са </w:t>
            </w:r>
            <w:r w:rsidR="00A44DE8" w:rsidRPr="005E5E87">
              <w:rPr>
                <w:lang w:val="bg-BG"/>
              </w:rPr>
              <w:t>юридически лица</w:t>
            </w:r>
            <w:r w:rsidRPr="005E5E87">
              <w:rPr>
                <w:lang w:val="bg-BG"/>
              </w:rPr>
              <w:t>,</w:t>
            </w:r>
            <w:r w:rsidR="00A44DE8" w:rsidRPr="005E5E87">
              <w:rPr>
                <w:lang w:val="bg-BG"/>
              </w:rPr>
              <w:t xml:space="preserve"> регистрирани по Търговския закон или Закона за кооперациите</w:t>
            </w:r>
            <w:r w:rsidR="003A64ED" w:rsidRPr="005E5E87">
              <w:rPr>
                <w:lang w:val="bg-BG"/>
              </w:rPr>
              <w:t>;</w:t>
            </w:r>
          </w:p>
          <w:p w:rsidR="00B259E0" w:rsidRPr="005E5E87" w:rsidRDefault="00551F8B" w:rsidP="00F7170C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5E5E87">
              <w:rPr>
                <w:lang w:val="bg-BG"/>
              </w:rPr>
              <w:t xml:space="preserve">да </w:t>
            </w:r>
            <w:r w:rsidR="00295805" w:rsidRPr="005E5E87">
              <w:rPr>
                <w:lang w:val="bg-BG"/>
              </w:rPr>
              <w:t>са</w:t>
            </w:r>
            <w:r w:rsidR="003A64ED" w:rsidRPr="005E5E87">
              <w:rPr>
                <w:lang w:val="bg-BG"/>
              </w:rPr>
              <w:t xml:space="preserve"> регистриран</w:t>
            </w:r>
            <w:r w:rsidR="00295805" w:rsidRPr="005E5E87">
              <w:rPr>
                <w:lang w:val="bg-BG"/>
              </w:rPr>
              <w:t>и</w:t>
            </w:r>
            <w:r w:rsidRPr="005E5E87">
              <w:rPr>
                <w:lang w:val="bg-BG"/>
              </w:rPr>
              <w:t xml:space="preserve"> като земеделски стопани по Закона за подпомагане на земеделските производители</w:t>
            </w:r>
            <w:r w:rsidR="00B259E0" w:rsidRPr="005E5E87">
              <w:rPr>
                <w:lang w:val="bg-BG"/>
              </w:rPr>
              <w:t xml:space="preserve"> от най – малко </w:t>
            </w:r>
            <w:r w:rsidR="00D5041B" w:rsidRPr="005E5E87">
              <w:rPr>
                <w:lang w:val="bg-BG"/>
              </w:rPr>
              <w:t>36</w:t>
            </w:r>
            <w:r w:rsidR="00B259E0" w:rsidRPr="005E5E87">
              <w:rPr>
                <w:lang w:val="bg-BG"/>
              </w:rPr>
              <w:t xml:space="preserve"> месеца преди кандидатстването за подпомагане</w:t>
            </w:r>
            <w:r w:rsidR="00003D1D" w:rsidRPr="005E5E87">
              <w:rPr>
                <w:lang w:val="bg-BG"/>
              </w:rPr>
              <w:t xml:space="preserve"> и да не са прекратявали своята дейност</w:t>
            </w:r>
            <w:r w:rsidRPr="005E5E87">
              <w:rPr>
                <w:lang w:val="bg-BG"/>
              </w:rPr>
              <w:t>;</w:t>
            </w:r>
          </w:p>
          <w:p w:rsidR="00B259E0" w:rsidRPr="005E5E87" w:rsidRDefault="00B259E0" w:rsidP="00F7170C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5E5E87">
              <w:rPr>
                <w:lang w:val="bg-BG"/>
              </w:rPr>
              <w:t>да имат приход/доход от земеделска дейност и/или приход/доход от услуги директно свързани със земеделска дейност и/или преработка на земеделска продукция и/или участие и подпомагане по схемата за единно плащане на площ</w:t>
            </w:r>
            <w:r w:rsidR="00B62EEC" w:rsidRPr="005E5E87">
              <w:rPr>
                <w:lang w:val="bg-BG"/>
              </w:rPr>
              <w:t xml:space="preserve"> и/или публична финансова помощ за извършваната от тях селскостопанска дейност</w:t>
            </w:r>
            <w:r w:rsidRPr="005E5E87">
              <w:rPr>
                <w:lang w:val="bg-BG"/>
              </w:rPr>
              <w:t>;</w:t>
            </w:r>
          </w:p>
          <w:p w:rsidR="00A44DE8" w:rsidRPr="005E5E87" w:rsidRDefault="00A44DE8" w:rsidP="00F7170C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5E5E87">
              <w:rPr>
                <w:lang w:val="bg-BG"/>
              </w:rPr>
              <w:t>да имат минимален стандартен производствен обем/СПО/ на земеделското стопанство</w:t>
            </w:r>
            <w:r w:rsidR="00B259E0" w:rsidRPr="005E5E87">
              <w:rPr>
                <w:lang w:val="bg-BG"/>
              </w:rPr>
              <w:t xml:space="preserve"> </w:t>
            </w:r>
            <w:r w:rsidRPr="005E5E87">
              <w:rPr>
                <w:lang w:val="bg-BG"/>
              </w:rPr>
              <w:t xml:space="preserve">не по - малко от </w:t>
            </w:r>
            <w:r w:rsidR="0069596B" w:rsidRPr="005E5E87">
              <w:rPr>
                <w:lang w:val="bg-BG"/>
              </w:rPr>
              <w:t>20</w:t>
            </w:r>
            <w:r w:rsidR="003A37BA" w:rsidRPr="005E5E87">
              <w:rPr>
                <w:lang w:val="en-US"/>
              </w:rPr>
              <w:t xml:space="preserve"> 00</w:t>
            </w:r>
            <w:r w:rsidR="005C3CDA" w:rsidRPr="005E5E87">
              <w:rPr>
                <w:lang w:val="bg-BG"/>
              </w:rPr>
              <w:t>1</w:t>
            </w:r>
            <w:r w:rsidRPr="005E5E87">
              <w:rPr>
                <w:lang w:val="bg-BG"/>
              </w:rPr>
              <w:t xml:space="preserve"> евро;</w:t>
            </w:r>
          </w:p>
          <w:p w:rsidR="00693CFD" w:rsidRPr="00B259E0" w:rsidRDefault="003A64ED" w:rsidP="00F7170C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B259E0">
              <w:rPr>
                <w:lang w:val="bg-BG"/>
              </w:rPr>
              <w:t>да имат разработен бизнес план за дейно</w:t>
            </w:r>
            <w:r w:rsidR="00B259E0" w:rsidRPr="00B259E0">
              <w:rPr>
                <w:lang w:val="bg-BG"/>
              </w:rPr>
              <w:t>стите в земеделското стопанство и доказващ подобряване на дейността на земеделското стопанство чрез прилагане на планираните инвестиции и дейности</w:t>
            </w:r>
            <w:r w:rsidR="008C6273">
              <w:rPr>
                <w:lang w:val="bg-BG"/>
              </w:rPr>
              <w:t>;</w:t>
            </w:r>
          </w:p>
          <w:p w:rsidR="00FE24B8" w:rsidRDefault="00FE24B8" w:rsidP="00765CD5">
            <w:pPr>
              <w:jc w:val="both"/>
              <w:rPr>
                <w:lang w:val="bg-BG"/>
              </w:rPr>
            </w:pPr>
          </w:p>
          <w:p w:rsidR="00B259E0" w:rsidRPr="00B259E0" w:rsidRDefault="00B259E0" w:rsidP="00B259E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Групи и организации на производители</w:t>
            </w:r>
            <w:r w:rsidRPr="00B259E0">
              <w:rPr>
                <w:b/>
                <w:lang w:val="bg-BG"/>
              </w:rPr>
              <w:t xml:space="preserve"> допустими за подпомагане трябва да отговарят на следните условия:</w:t>
            </w:r>
          </w:p>
          <w:p w:rsidR="00B259E0" w:rsidRDefault="00B259E0" w:rsidP="00B259E0">
            <w:pPr>
              <w:ind w:firstLine="426"/>
              <w:jc w:val="both"/>
              <w:rPr>
                <w:color w:val="FF0000"/>
                <w:lang w:val="bg-BG"/>
              </w:rPr>
            </w:pPr>
          </w:p>
          <w:p w:rsidR="00B259E0" w:rsidRDefault="00B259E0" w:rsidP="00F7170C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B259E0">
              <w:rPr>
                <w:lang w:val="bg-BG"/>
              </w:rPr>
              <w:t>трябва да с</w:t>
            </w:r>
            <w:r>
              <w:rPr>
                <w:lang w:val="bg-BG"/>
              </w:rPr>
              <w:t xml:space="preserve">а признати като група или </w:t>
            </w:r>
            <w:r w:rsidRPr="00B259E0">
              <w:rPr>
                <w:lang w:val="bg-BG"/>
              </w:rPr>
              <w:t xml:space="preserve">организация на производители, в съответствие с националното и/или европейското законодателство </w:t>
            </w:r>
            <w:r>
              <w:rPr>
                <w:lang w:val="bg-BG"/>
              </w:rPr>
              <w:t>за организации на производители;</w:t>
            </w:r>
          </w:p>
          <w:p w:rsidR="00B259E0" w:rsidRPr="00B259E0" w:rsidRDefault="00B259E0" w:rsidP="00F7170C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B259E0">
              <w:rPr>
                <w:lang w:val="bg-BG"/>
              </w:rPr>
              <w:t>да имат приход</w:t>
            </w:r>
            <w:r>
              <w:rPr>
                <w:lang w:val="bg-BG"/>
              </w:rPr>
              <w:t xml:space="preserve"> от продажба на селскостопански </w:t>
            </w:r>
            <w:r w:rsidR="008C6273">
              <w:rPr>
                <w:lang w:val="bg-BG"/>
              </w:rPr>
              <w:t xml:space="preserve">продукти или преработени селскостопански продукти </w:t>
            </w:r>
            <w:r w:rsidRPr="00B259E0">
              <w:rPr>
                <w:lang w:val="bg-BG"/>
              </w:rPr>
              <w:t xml:space="preserve">и/или </w:t>
            </w:r>
            <w:r w:rsidR="008C6273">
              <w:rPr>
                <w:lang w:val="bg-BG"/>
              </w:rPr>
              <w:t>получена публична финансова помощ за продажбата на посочените продукти</w:t>
            </w:r>
            <w:r w:rsidRPr="00B259E0">
              <w:rPr>
                <w:lang w:val="bg-BG"/>
              </w:rPr>
              <w:t>;</w:t>
            </w:r>
          </w:p>
          <w:p w:rsidR="008C6273" w:rsidRPr="008C6273" w:rsidRDefault="008C6273" w:rsidP="00F7170C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8C6273">
              <w:rPr>
                <w:lang w:val="bg-BG"/>
              </w:rPr>
              <w:t xml:space="preserve">да имат разработен бизнес план за дейностите в </w:t>
            </w:r>
            <w:r>
              <w:rPr>
                <w:lang w:val="bg-BG"/>
              </w:rPr>
              <w:t>групата/организацията на производители</w:t>
            </w:r>
            <w:r w:rsidRPr="008C6273">
              <w:rPr>
                <w:lang w:val="bg-BG"/>
              </w:rPr>
              <w:t xml:space="preserve"> и доказващ подобряване на дейността </w:t>
            </w:r>
            <w:r>
              <w:rPr>
                <w:lang w:val="bg-BG"/>
              </w:rPr>
              <w:t xml:space="preserve">й </w:t>
            </w:r>
            <w:r w:rsidRPr="008C6273">
              <w:rPr>
                <w:lang w:val="bg-BG"/>
              </w:rPr>
              <w:t>чрез прилагане на планираните инвестиции и дейности;</w:t>
            </w:r>
          </w:p>
          <w:p w:rsidR="00B259E0" w:rsidRDefault="00B259E0" w:rsidP="008C6273">
            <w:pPr>
              <w:pStyle w:val="ListParagraph"/>
              <w:jc w:val="both"/>
              <w:rPr>
                <w:lang w:val="bg-BG"/>
              </w:rPr>
            </w:pPr>
          </w:p>
          <w:p w:rsidR="00CC2A84" w:rsidRPr="0019275A" w:rsidRDefault="00CC2A84" w:rsidP="00CA5A7B">
            <w:pPr>
              <w:jc w:val="both"/>
              <w:rPr>
                <w:b/>
                <w:lang w:val="bg-BG"/>
              </w:rPr>
            </w:pPr>
            <w:r w:rsidRPr="0019275A">
              <w:rPr>
                <w:b/>
                <w:lang w:val="bg-BG"/>
              </w:rPr>
              <w:t>Земеделските стопани</w:t>
            </w:r>
            <w:r w:rsidR="0019275A" w:rsidRPr="0019275A">
              <w:rPr>
                <w:b/>
                <w:lang w:val="bg-BG"/>
              </w:rPr>
              <w:t xml:space="preserve"> със земеделски стопанства</w:t>
            </w:r>
            <w:r w:rsidRPr="0019275A">
              <w:rPr>
                <w:b/>
                <w:lang w:val="bg-BG"/>
              </w:rPr>
              <w:t>, за които е приложимо трябва да отговарят на изискванията на Закона за ветеринарномедицинската дейност;</w:t>
            </w:r>
          </w:p>
          <w:p w:rsidR="0019275A" w:rsidRDefault="0019275A" w:rsidP="00DE7C1B">
            <w:pPr>
              <w:jc w:val="both"/>
              <w:rPr>
                <w:color w:val="FF0000"/>
                <w:lang w:val="bg-BG"/>
              </w:rPr>
            </w:pPr>
          </w:p>
          <w:p w:rsidR="00F7170C" w:rsidRPr="00F7170C" w:rsidRDefault="00F7170C" w:rsidP="00F7170C">
            <w:pPr>
              <w:jc w:val="both"/>
              <w:rPr>
                <w:b/>
                <w:lang w:val="bg-BG"/>
              </w:rPr>
            </w:pPr>
            <w:r w:rsidRPr="00F7170C">
              <w:rPr>
                <w:b/>
                <w:lang w:val="bg-BG"/>
              </w:rPr>
              <w:t xml:space="preserve">В </w:t>
            </w:r>
            <w:r w:rsidR="009C5446">
              <w:rPr>
                <w:b/>
                <w:lang w:val="bg-BG"/>
              </w:rPr>
              <w:t>съответствие с чл. 68, §3</w:t>
            </w:r>
            <w:r w:rsidRPr="00F7170C">
              <w:rPr>
                <w:b/>
                <w:lang w:val="bg-BG"/>
              </w:rPr>
              <w:t xml:space="preserve"> </w:t>
            </w:r>
            <w:r w:rsidR="009C5446">
              <w:rPr>
                <w:b/>
                <w:lang w:val="bg-BG"/>
              </w:rPr>
              <w:t xml:space="preserve">от Регламент ХХХХ/20ХХ </w:t>
            </w:r>
            <w:r w:rsidRPr="00F7170C">
              <w:rPr>
                <w:b/>
                <w:lang w:val="bg-BG"/>
              </w:rPr>
              <w:t>не са допустимите за подпомагане инвестиции и категориите разходи, като включват:</w:t>
            </w:r>
          </w:p>
          <w:p w:rsidR="00F7170C" w:rsidRPr="009C5446" w:rsidRDefault="00F7170C" w:rsidP="00F7170C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lang w:val="bg-BG"/>
              </w:rPr>
            </w:pPr>
            <w:r w:rsidRPr="009C5446">
              <w:rPr>
                <w:lang w:val="bg-BG"/>
              </w:rPr>
              <w:t>закупуване на права за получаване на плащане;</w:t>
            </w:r>
          </w:p>
          <w:p w:rsidR="00F7170C" w:rsidRPr="009C5446" w:rsidRDefault="00F7170C" w:rsidP="00F7170C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lang w:val="bg-BG"/>
              </w:rPr>
            </w:pPr>
            <w:r w:rsidRPr="009C5446">
              <w:rPr>
                <w:lang w:val="bg-BG"/>
              </w:rPr>
              <w:t>закупуване на земя, с изключение на закупуване на земя за опазване на околната среда или закупена земя от млади земеделски стопани посредством използването на финансови инструменти;</w:t>
            </w:r>
          </w:p>
          <w:p w:rsidR="00F7170C" w:rsidRPr="009C5446" w:rsidRDefault="00F7170C" w:rsidP="00F7170C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lang w:val="bg-BG"/>
              </w:rPr>
            </w:pPr>
            <w:r w:rsidRPr="009C5446">
              <w:rPr>
                <w:lang w:val="bg-BG"/>
              </w:rPr>
              <w:t>закупуване на животни, едногодишни растения и тяхното засаждане, различно от закупуване с цел възстановяване на земеделския или горския потенциал след природни бедствия и катастрофични събития;</w:t>
            </w:r>
          </w:p>
          <w:p w:rsidR="00F7170C" w:rsidRPr="009C5446" w:rsidRDefault="00F7170C" w:rsidP="00F7170C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lang w:val="bg-BG"/>
              </w:rPr>
            </w:pPr>
            <w:r w:rsidRPr="009C5446">
              <w:rPr>
                <w:lang w:val="bg-BG"/>
              </w:rPr>
              <w:t>лихви по дългове, с изключение свързани с безвъзмездни средства, отпуснати под формата на лихвени субсидии или субсидии за гаранционни такси;</w:t>
            </w:r>
          </w:p>
          <w:p w:rsidR="00F7170C" w:rsidRPr="009C5446" w:rsidRDefault="00F7170C" w:rsidP="00F7170C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lang w:val="bg-BG"/>
              </w:rPr>
            </w:pPr>
            <w:r w:rsidRPr="009C5446">
              <w:rPr>
                <w:lang w:val="bg-BG"/>
              </w:rPr>
              <w:t>инвестиции в напоителни системи, които не са съвместими с постигането на добро състояние на водните обекти, както е определено в член 4, параграф 1 от Директива 2000/60/ЕО, включително разрастване на напоителните системи, което засяга водни басейни, чийто статус е определен като незадоволителен в съответния план за управление на речния басейн;</w:t>
            </w:r>
          </w:p>
          <w:p w:rsidR="00F7170C" w:rsidRPr="009C5446" w:rsidRDefault="00F7170C" w:rsidP="00F7170C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lang w:val="bg-BG"/>
              </w:rPr>
            </w:pPr>
            <w:r w:rsidRPr="009C5446">
              <w:rPr>
                <w:lang w:val="bg-BG"/>
              </w:rPr>
              <w:t>инвестиции в големи инфраструктури, които не са част от стратегиите за местно развитие;</w:t>
            </w:r>
          </w:p>
          <w:p w:rsidR="00F7170C" w:rsidRPr="00F7170C" w:rsidRDefault="00F7170C" w:rsidP="00DE7C1B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color w:val="FF0000"/>
                <w:lang w:val="bg-BG"/>
              </w:rPr>
            </w:pPr>
            <w:r w:rsidRPr="009C5446">
              <w:rPr>
                <w:lang w:val="bg-BG"/>
              </w:rPr>
              <w:t>инвестиции в залесяване, които не са съвместими с целите, свързани с климата и околната среда, в съответствие с принципите за устойчиво управление на горите, разработени в общоевропейските насоки за залесяване и повторно залесяване.</w:t>
            </w:r>
          </w:p>
        </w:tc>
      </w:tr>
    </w:tbl>
    <w:p w:rsidR="005F556B" w:rsidRPr="00341EFA" w:rsidRDefault="005F556B" w:rsidP="005F556B">
      <w:pPr>
        <w:spacing w:line="240" w:lineRule="auto"/>
        <w:jc w:val="both"/>
        <w:rPr>
          <w:b/>
          <w:color w:val="FF0000"/>
        </w:rPr>
      </w:pPr>
    </w:p>
    <w:p w:rsidR="00B92EB3" w:rsidRPr="00765CD5" w:rsidRDefault="00B92EB3" w:rsidP="0046113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bg-BG"/>
        </w:rPr>
      </w:pPr>
      <w:r w:rsidRPr="00765CD5">
        <w:rPr>
          <w:b/>
          <w:lang w:val="bg-BG"/>
        </w:rPr>
        <w:t>Съвместимост на интервенцията със споразумението на СТО за селското стопанство:</w:t>
      </w:r>
    </w:p>
    <w:p w:rsidR="00B92EB3" w:rsidRPr="00765CD5" w:rsidRDefault="00B92EB3" w:rsidP="005F556B">
      <w:pPr>
        <w:spacing w:line="240" w:lineRule="auto"/>
        <w:jc w:val="both"/>
        <w:rPr>
          <w:i/>
          <w:lang w:val="bg-BG"/>
        </w:rPr>
      </w:pPr>
      <w:r w:rsidRPr="00765CD5">
        <w:rPr>
          <w:i/>
          <w:lang w:val="bg-BG"/>
        </w:rPr>
        <w:lastRenderedPageBreak/>
        <w:t xml:space="preserve">/За всяка интервенция, която </w:t>
      </w:r>
      <w:r w:rsidRPr="00765CD5">
        <w:rPr>
          <w:i/>
          <w:u w:val="single"/>
          <w:lang w:val="bg-BG"/>
        </w:rPr>
        <w:t>се</w:t>
      </w:r>
      <w:r w:rsidRPr="00765CD5">
        <w:rPr>
          <w:i/>
          <w:lang w:val="bg-BG"/>
        </w:rPr>
        <w:t xml:space="preserve"> основава на видовете интервенции, изброени в приложение II към регламента за Стратегическите планове по ОСП, следва да се опише как тя спазва съответните разпоредби на приложение 2 към Споразумението на СТО за селското стопанство (както е посочено в член 10 и в приложение II към същия регламент). За всяка интервенция, която </w:t>
      </w:r>
      <w:r w:rsidRPr="00765CD5">
        <w:rPr>
          <w:i/>
          <w:u w:val="single"/>
          <w:lang w:val="bg-BG"/>
        </w:rPr>
        <w:t>не се</w:t>
      </w:r>
      <w:r w:rsidRPr="00765CD5">
        <w:rPr>
          <w:i/>
          <w:lang w:val="bg-BG"/>
        </w:rPr>
        <w:t xml:space="preserve"> основава на видовете интервенции, изброени в приложение II към настоящия регламент, как спазва съответните разпоредби на член 6.5 или приложение 2 към Споразумението на СТО за селското стопанство/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65CD5" w:rsidRPr="00765CD5" w:rsidTr="00B92EB3">
        <w:tc>
          <w:tcPr>
            <w:tcW w:w="9242" w:type="dxa"/>
          </w:tcPr>
          <w:p w:rsidR="00AA069F" w:rsidRPr="00765CD5" w:rsidRDefault="00765CD5" w:rsidP="006D2D77">
            <w:pPr>
              <w:jc w:val="both"/>
              <w:rPr>
                <w:lang w:val="bg-BG"/>
              </w:rPr>
            </w:pPr>
            <w:r w:rsidRPr="00CA5CE1">
              <w:rPr>
                <w:lang w:val="bg-BG"/>
              </w:rPr>
              <w:t xml:space="preserve">Интервенцията </w:t>
            </w:r>
            <w:r w:rsidR="006D2D77" w:rsidRPr="00CA5CE1">
              <w:rPr>
                <w:lang w:val="bg-BG"/>
              </w:rPr>
              <w:t>е включена в приложение II на Регламент ХХХХ/202Х</w:t>
            </w:r>
            <w:r w:rsidRPr="00CA5CE1">
              <w:rPr>
                <w:lang w:val="bg-BG"/>
              </w:rPr>
              <w:t xml:space="preserve"> и е в съответствие с</w:t>
            </w:r>
            <w:r w:rsidRPr="00CA5CE1">
              <w:t xml:space="preserve"> </w:t>
            </w:r>
            <w:r w:rsidRPr="00CA5CE1">
              <w:rPr>
                <w:lang w:val="bg-BG"/>
              </w:rPr>
              <w:t>приложение 2 към Споразумението на СТО за селското стопанство  – Предстои да се разработи тази част.</w:t>
            </w:r>
          </w:p>
        </w:tc>
      </w:tr>
    </w:tbl>
    <w:p w:rsidR="00B92EB3" w:rsidRPr="00341EFA" w:rsidRDefault="00B92EB3" w:rsidP="005F556B">
      <w:pPr>
        <w:spacing w:line="240" w:lineRule="auto"/>
        <w:jc w:val="both"/>
        <w:rPr>
          <w:i/>
          <w:color w:val="FF0000"/>
          <w:lang w:val="bg-BG"/>
        </w:rPr>
      </w:pPr>
    </w:p>
    <w:p w:rsidR="005F556B" w:rsidRPr="00483ED4" w:rsidRDefault="005F556B" w:rsidP="0046113A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bg-BG"/>
        </w:rPr>
      </w:pPr>
      <w:r w:rsidRPr="00483ED4">
        <w:rPr>
          <w:b/>
          <w:lang w:val="bg-BG"/>
        </w:rPr>
        <w:t xml:space="preserve">Нива на подпомагане / премии / методи за изчисляване (включително диференциации за групи от територии, където е приложимо) и, когато е приложимо, кратко обяснение защо посочените са подходящи за постигане на целите, </w:t>
      </w:r>
      <w:r w:rsidR="00950149" w:rsidRPr="00483ED4">
        <w:rPr>
          <w:b/>
          <w:lang w:val="bg-BG"/>
        </w:rPr>
        <w:t>(</w:t>
      </w:r>
      <w:r w:rsidRPr="00483ED4">
        <w:rPr>
          <w:b/>
          <w:lang w:val="bg-BG"/>
        </w:rPr>
        <w:t>също и по отношение на базовите изисквания</w:t>
      </w:r>
      <w:r w:rsidR="00950149" w:rsidRPr="00483ED4">
        <w:rPr>
          <w:b/>
          <w:lang w:val="bg-BG"/>
        </w:rPr>
        <w:t>)</w:t>
      </w:r>
      <w:r w:rsidRPr="00483ED4">
        <w:rPr>
          <w:b/>
          <w:lang w:val="bg-BG"/>
        </w:rPr>
        <w:t>:</w:t>
      </w:r>
    </w:p>
    <w:p w:rsidR="00BC2D56" w:rsidRPr="00483ED4" w:rsidRDefault="00BC2D56" w:rsidP="00BC2D56">
      <w:pPr>
        <w:spacing w:after="0" w:line="240" w:lineRule="auto"/>
        <w:jc w:val="both"/>
        <w:rPr>
          <w:i/>
          <w:lang w:val="bg-BG"/>
        </w:rPr>
      </w:pPr>
      <w:r w:rsidRPr="00483ED4">
        <w:rPr>
          <w:i/>
          <w:lang w:val="bg-BG"/>
        </w:rPr>
        <w:t>/</w:t>
      </w:r>
      <w:r w:rsidRPr="00483ED4">
        <w:rPr>
          <w:b/>
          <w:i/>
          <w:lang w:val="bg-BG"/>
        </w:rPr>
        <w:t>информацията следва да включва:</w:t>
      </w:r>
      <w:r w:rsidRPr="00483ED4">
        <w:rPr>
          <w:i/>
          <w:lang w:val="bg-BG"/>
        </w:rPr>
        <w:t xml:space="preserve"> формата и степента на подкрепа; методът за изчисляване на единичните суми на подпомагане и неговото сертифициране в съответствие с член 76; различните единни или средни единични суми на помощта</w:t>
      </w:r>
      <w:r w:rsidR="00950149" w:rsidRPr="00483ED4">
        <w:rPr>
          <w:i/>
          <w:lang w:val="bg-BG"/>
        </w:rPr>
        <w:t xml:space="preserve"> в рамките на тази интервенция.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556B" w:rsidRPr="00341EFA" w:rsidTr="005F556B">
        <w:tc>
          <w:tcPr>
            <w:tcW w:w="9242" w:type="dxa"/>
          </w:tcPr>
          <w:p w:rsidR="006D2D77" w:rsidRDefault="006D2D77" w:rsidP="00DC571A">
            <w:pPr>
              <w:jc w:val="both"/>
              <w:rPr>
                <w:b/>
                <w:lang w:val="bg-BG"/>
              </w:rPr>
            </w:pPr>
            <w:r w:rsidRPr="00DC571A">
              <w:rPr>
                <w:b/>
                <w:lang w:val="bg-BG"/>
              </w:rPr>
              <w:t xml:space="preserve">Подпомагането се предоставя под формата на </w:t>
            </w:r>
            <w:r w:rsidR="007664F5" w:rsidRPr="00DC571A">
              <w:rPr>
                <w:b/>
                <w:lang w:val="bg-BG"/>
              </w:rPr>
              <w:t>възстановяване на действително направени от бенефициера</w:t>
            </w:r>
            <w:r w:rsidR="00DC571A" w:rsidRPr="00DC571A">
              <w:rPr>
                <w:b/>
                <w:lang w:val="bg-BG"/>
              </w:rPr>
              <w:t xml:space="preserve"> допустими разходи.</w:t>
            </w:r>
          </w:p>
          <w:p w:rsidR="00922D4C" w:rsidRDefault="00922D4C" w:rsidP="00DC571A">
            <w:pPr>
              <w:jc w:val="both"/>
              <w:rPr>
                <w:b/>
                <w:lang w:val="bg-BG"/>
              </w:rPr>
            </w:pPr>
          </w:p>
          <w:p w:rsidR="0029257A" w:rsidRDefault="00DC571A" w:rsidP="0029257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5E5E87">
              <w:rPr>
                <w:lang w:val="bg-BG"/>
              </w:rPr>
              <w:t xml:space="preserve">Финансовата помощ е в размер </w:t>
            </w:r>
            <w:r w:rsidR="00CA5CE1" w:rsidRPr="005E5E87">
              <w:rPr>
                <w:lang w:val="bg-BG"/>
              </w:rPr>
              <w:t>до</w:t>
            </w:r>
            <w:r w:rsidRPr="005E5E87">
              <w:rPr>
                <w:lang w:val="bg-BG"/>
              </w:rPr>
              <w:t xml:space="preserve"> </w:t>
            </w:r>
            <w:r w:rsidR="005C3CDA" w:rsidRPr="005E5E87">
              <w:rPr>
                <w:lang w:val="bg-BG"/>
              </w:rPr>
              <w:t xml:space="preserve">30 </w:t>
            </w:r>
            <w:r w:rsidRPr="005E5E87">
              <w:rPr>
                <w:lang w:val="bg-BG"/>
              </w:rPr>
              <w:t>% от общия размер на допустимите за финансово подпомагане разходи</w:t>
            </w:r>
            <w:r w:rsidR="005C3CDA" w:rsidRPr="005E5E87">
              <w:rPr>
                <w:lang w:val="bg-BG"/>
              </w:rPr>
              <w:t xml:space="preserve">, а за кандидати със СПО на земеделското стопанство до </w:t>
            </w:r>
            <w:r w:rsidR="0029257A" w:rsidRPr="00015B35">
              <w:rPr>
                <w:lang w:val="en-US"/>
              </w:rPr>
              <w:t>500 00</w:t>
            </w:r>
            <w:r w:rsidR="0029257A" w:rsidRPr="00015B35">
              <w:rPr>
                <w:lang w:val="bg-BG"/>
              </w:rPr>
              <w:t>0</w:t>
            </w:r>
            <w:r w:rsidR="005C3CDA" w:rsidRPr="00015B35">
              <w:rPr>
                <w:lang w:val="bg-BG"/>
              </w:rPr>
              <w:t xml:space="preserve"> евро</w:t>
            </w:r>
            <w:r w:rsidR="0029257A">
              <w:rPr>
                <w:lang w:val="bg-BG"/>
              </w:rPr>
              <w:t>,</w:t>
            </w:r>
            <w:r w:rsidR="0029257A" w:rsidRPr="0029257A">
              <w:rPr>
                <w:lang w:val="bg-BG"/>
              </w:rPr>
              <w:t xml:space="preserve"> </w:t>
            </w:r>
            <w:r w:rsidR="005C3CDA" w:rsidRPr="0029257A">
              <w:rPr>
                <w:lang w:val="bg-BG"/>
              </w:rPr>
              <w:t xml:space="preserve">финансовата помощ е в размер до </w:t>
            </w:r>
            <w:r w:rsidR="0029257A" w:rsidRPr="0029257A">
              <w:rPr>
                <w:lang w:val="bg-BG"/>
              </w:rPr>
              <w:t>4</w:t>
            </w:r>
            <w:r w:rsidR="005C3CDA" w:rsidRPr="0029257A">
              <w:rPr>
                <w:lang w:val="bg-BG"/>
              </w:rPr>
              <w:t>0 % от общия размер на допустимите за финансово</w:t>
            </w:r>
            <w:r w:rsidR="005C3CDA" w:rsidRPr="005E5E87">
              <w:rPr>
                <w:lang w:val="bg-BG"/>
              </w:rPr>
              <w:t xml:space="preserve"> подпомагане разходи</w:t>
            </w:r>
            <w:r w:rsidRPr="005E5E87">
              <w:rPr>
                <w:lang w:val="bg-BG"/>
              </w:rPr>
              <w:t>;</w:t>
            </w:r>
            <w:r w:rsidR="0029257A" w:rsidRPr="0029257A">
              <w:rPr>
                <w:lang w:val="bg-BG"/>
              </w:rPr>
              <w:t xml:space="preserve"> </w:t>
            </w:r>
          </w:p>
          <w:p w:rsidR="0029257A" w:rsidRPr="0029257A" w:rsidRDefault="0029257A" w:rsidP="00015B35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lang w:val="bg-BG"/>
              </w:rPr>
            </w:pPr>
            <w:r w:rsidRPr="0029257A">
              <w:rPr>
                <w:lang w:val="bg-BG"/>
              </w:rPr>
              <w:t xml:space="preserve">Финансовата помощ </w:t>
            </w:r>
            <w:r>
              <w:rPr>
                <w:lang w:val="bg-BG"/>
              </w:rPr>
              <w:t xml:space="preserve">може да се увеличи с </w:t>
            </w:r>
            <w:r w:rsidRPr="0029257A">
              <w:rPr>
                <w:lang w:val="bg-BG"/>
              </w:rPr>
              <w:t xml:space="preserve">до </w:t>
            </w:r>
            <w:r>
              <w:rPr>
                <w:lang w:val="bg-BG"/>
              </w:rPr>
              <w:t>1</w:t>
            </w:r>
            <w:r w:rsidRPr="0029257A">
              <w:rPr>
                <w:lang w:val="bg-BG"/>
              </w:rPr>
              <w:t xml:space="preserve">0 % </w:t>
            </w:r>
            <w:r>
              <w:rPr>
                <w:lang w:val="bg-BG"/>
              </w:rPr>
              <w:t>за проектни предложения</w:t>
            </w:r>
            <w:r w:rsidR="00CE60AE">
              <w:rPr>
                <w:lang w:val="bg-BG"/>
              </w:rPr>
              <w:t>, които се изпълняват</w:t>
            </w:r>
            <w:r>
              <w:rPr>
                <w:lang w:val="bg-BG"/>
              </w:rPr>
              <w:t xml:space="preserve"> в чувствителни сектори</w:t>
            </w:r>
            <w:r w:rsidR="00612547">
              <w:t xml:space="preserve"> </w:t>
            </w:r>
            <w:r w:rsidR="00612547" w:rsidRPr="00612547">
              <w:rPr>
                <w:lang w:val="bg-BG"/>
              </w:rPr>
              <w:t>определени в анализа към СП</w:t>
            </w:r>
            <w:r w:rsidRPr="0029257A">
              <w:rPr>
                <w:lang w:val="bg-BG"/>
              </w:rPr>
              <w:t>;</w:t>
            </w:r>
            <w:bookmarkStart w:id="0" w:name="_GoBack"/>
            <w:bookmarkEnd w:id="0"/>
          </w:p>
          <w:p w:rsidR="00DC571A" w:rsidRPr="005E5E87" w:rsidRDefault="00DC571A" w:rsidP="00DC571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szCs w:val="24"/>
                <w:lang w:val="bg-BG"/>
              </w:rPr>
            </w:pPr>
            <w:r w:rsidRPr="005E5E87">
              <w:rPr>
                <w:szCs w:val="24"/>
                <w:lang w:val="bg-BG"/>
              </w:rPr>
              <w:t xml:space="preserve">Минималният </w:t>
            </w:r>
            <w:r w:rsidRPr="005E5E87">
              <w:rPr>
                <w:lang w:val="bg-BG"/>
              </w:rPr>
              <w:t>размер</w:t>
            </w:r>
            <w:r w:rsidRPr="005E5E87">
              <w:rPr>
                <w:szCs w:val="24"/>
                <w:lang w:val="bg-BG"/>
              </w:rPr>
              <w:t xml:space="preserve"> на допустимите разходи за едно проектно предложение е </w:t>
            </w:r>
            <w:r w:rsidR="003A37BA" w:rsidRPr="005E5E87">
              <w:rPr>
                <w:szCs w:val="24"/>
                <w:lang w:val="en-US"/>
              </w:rPr>
              <w:t>25 000</w:t>
            </w:r>
            <w:r w:rsidRPr="005E5E87">
              <w:rPr>
                <w:szCs w:val="24"/>
                <w:lang w:val="bg-BG"/>
              </w:rPr>
              <w:t xml:space="preserve"> евро.</w:t>
            </w:r>
          </w:p>
          <w:p w:rsidR="00DC571A" w:rsidRPr="005E5E87" w:rsidRDefault="00DC571A" w:rsidP="00DC571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szCs w:val="24"/>
                <w:lang w:val="bg-BG"/>
              </w:rPr>
            </w:pPr>
            <w:r w:rsidRPr="005E5E87">
              <w:rPr>
                <w:szCs w:val="24"/>
                <w:lang w:val="bg-BG"/>
              </w:rPr>
              <w:t xml:space="preserve">Максималният размер на допустимите разходи за един кандидат за периода на прилагане на интервенцията е </w:t>
            </w:r>
            <w:r w:rsidR="00372EB3" w:rsidRPr="005E5E87">
              <w:rPr>
                <w:szCs w:val="24"/>
                <w:lang w:val="bg-BG"/>
              </w:rPr>
              <w:t>до</w:t>
            </w:r>
            <w:r w:rsidRPr="005E5E87">
              <w:rPr>
                <w:szCs w:val="24"/>
                <w:lang w:val="bg-BG"/>
              </w:rPr>
              <w:t xml:space="preserve"> </w:t>
            </w:r>
            <w:r w:rsidR="005C3CDA" w:rsidRPr="005E5E87">
              <w:rPr>
                <w:szCs w:val="24"/>
                <w:lang w:val="bg-BG"/>
              </w:rPr>
              <w:t>1 0</w:t>
            </w:r>
            <w:r w:rsidR="003A37BA" w:rsidRPr="005E5E87">
              <w:rPr>
                <w:szCs w:val="24"/>
                <w:lang w:val="en-US"/>
              </w:rPr>
              <w:t>00 000</w:t>
            </w:r>
            <w:r w:rsidRPr="005E5E87">
              <w:rPr>
                <w:szCs w:val="24"/>
                <w:lang w:val="bg-BG"/>
              </w:rPr>
              <w:t xml:space="preserve"> евро, а максималният размер на допустимите разходи за един проект е до </w:t>
            </w:r>
            <w:r w:rsidR="005C3CDA" w:rsidRPr="005E5E87">
              <w:rPr>
                <w:szCs w:val="24"/>
                <w:lang w:val="bg-BG"/>
              </w:rPr>
              <w:t>1 0</w:t>
            </w:r>
            <w:r w:rsidR="003A37BA" w:rsidRPr="005E5E87">
              <w:rPr>
                <w:szCs w:val="24"/>
                <w:lang w:val="en-US"/>
              </w:rPr>
              <w:t>00 000</w:t>
            </w:r>
            <w:r w:rsidRPr="005E5E87">
              <w:rPr>
                <w:szCs w:val="24"/>
                <w:lang w:val="bg-BG"/>
              </w:rPr>
              <w:t xml:space="preserve"> евро.</w:t>
            </w:r>
          </w:p>
          <w:p w:rsidR="00DC571A" w:rsidRPr="005E5E87" w:rsidRDefault="00DC571A" w:rsidP="00DC571A">
            <w:pPr>
              <w:pStyle w:val="ListParagraph"/>
              <w:numPr>
                <w:ilvl w:val="0"/>
                <w:numId w:val="7"/>
              </w:numPr>
              <w:ind w:left="142" w:hanging="142"/>
              <w:jc w:val="both"/>
              <w:rPr>
                <w:szCs w:val="24"/>
                <w:lang w:val="bg-BG"/>
              </w:rPr>
            </w:pPr>
            <w:r w:rsidRPr="005E5E87">
              <w:rPr>
                <w:szCs w:val="24"/>
                <w:lang w:val="bg-BG"/>
              </w:rPr>
              <w:t xml:space="preserve">Максималният размер на допустимите разходи за инвестиции в земеделска техника за един кандидат за периода на прилагане на интервенцията е до </w:t>
            </w:r>
            <w:r w:rsidR="003A37BA" w:rsidRPr="005E5E87">
              <w:rPr>
                <w:szCs w:val="24"/>
                <w:lang w:val="en-US"/>
              </w:rPr>
              <w:t>50</w:t>
            </w:r>
            <w:r w:rsidR="005C3CDA" w:rsidRPr="005E5E87">
              <w:rPr>
                <w:szCs w:val="24"/>
                <w:lang w:val="bg-BG"/>
              </w:rPr>
              <w:t>0</w:t>
            </w:r>
            <w:r w:rsidR="003A37BA" w:rsidRPr="005E5E87">
              <w:rPr>
                <w:szCs w:val="24"/>
                <w:lang w:val="en-US"/>
              </w:rPr>
              <w:t xml:space="preserve"> 000</w:t>
            </w:r>
            <w:r w:rsidRPr="005E5E87">
              <w:rPr>
                <w:szCs w:val="24"/>
                <w:lang w:val="bg-BG"/>
              </w:rPr>
              <w:t xml:space="preserve"> евро.</w:t>
            </w:r>
          </w:p>
          <w:p w:rsidR="002E20AA" w:rsidRPr="005E5E87" w:rsidRDefault="002E20AA" w:rsidP="00483ED4">
            <w:pPr>
              <w:jc w:val="both"/>
              <w:rPr>
                <w:b/>
                <w:lang w:val="bg-BG"/>
              </w:rPr>
            </w:pPr>
          </w:p>
          <w:p w:rsidR="00F94A1B" w:rsidRPr="005E5E87" w:rsidRDefault="005C3CDA" w:rsidP="0029257A">
            <w:pPr>
              <w:jc w:val="both"/>
              <w:rPr>
                <w:b/>
                <w:lang w:val="bg-BG"/>
              </w:rPr>
            </w:pPr>
            <w:r w:rsidRPr="005E5E87">
              <w:rPr>
                <w:b/>
                <w:lang w:val="bg-BG"/>
              </w:rPr>
              <w:t>Кандидатите допустими за подпомагане в рамките на интервенцията могат да получат до 20% от общия размер на допустимите за фин</w:t>
            </w:r>
            <w:r w:rsidR="004D3CD2" w:rsidRPr="005E5E87">
              <w:rPr>
                <w:b/>
                <w:lang w:val="bg-BG"/>
              </w:rPr>
              <w:t>ансово подпомагане разходи</w:t>
            </w:r>
            <w:r w:rsidR="004D3CD2" w:rsidRPr="005E5E87">
              <w:rPr>
                <w:b/>
                <w:lang w:val="bg-BG"/>
              </w:rPr>
              <w:tab/>
              <w:t xml:space="preserve"> под </w:t>
            </w:r>
            <w:r w:rsidRPr="005E5E87">
              <w:rPr>
                <w:b/>
                <w:lang w:val="bg-BG"/>
              </w:rPr>
              <w:t>формата на финансов инструмент</w:t>
            </w:r>
            <w:r w:rsidR="0029257A">
              <w:rPr>
                <w:b/>
                <w:lang w:val="bg-BG"/>
              </w:rPr>
              <w:t>, а за</w:t>
            </w:r>
            <w:r w:rsidR="0029257A">
              <w:t xml:space="preserve"> </w:t>
            </w:r>
            <w:r w:rsidR="0029257A" w:rsidRPr="0029257A">
              <w:rPr>
                <w:b/>
                <w:lang w:val="bg-BG"/>
              </w:rPr>
              <w:t xml:space="preserve">кандидати със СПО на земеделското стопанство до 500 000 евро </w:t>
            </w:r>
            <w:r w:rsidR="0029257A">
              <w:rPr>
                <w:b/>
                <w:lang w:val="bg-BG"/>
              </w:rPr>
              <w:t xml:space="preserve">до 10% </w:t>
            </w:r>
            <w:r w:rsidR="0029257A" w:rsidRPr="0029257A">
              <w:rPr>
                <w:b/>
                <w:lang w:val="bg-BG"/>
              </w:rPr>
              <w:t>от общия размер на допустимите за</w:t>
            </w:r>
            <w:r w:rsidR="0029257A">
              <w:rPr>
                <w:b/>
                <w:lang w:val="bg-BG"/>
              </w:rPr>
              <w:t xml:space="preserve"> финансово подпомагане разходи </w:t>
            </w:r>
            <w:r w:rsidR="0029257A" w:rsidRPr="0029257A">
              <w:rPr>
                <w:b/>
                <w:lang w:val="bg-BG"/>
              </w:rPr>
              <w:t>под формата на финансов инструмент</w:t>
            </w:r>
            <w:r w:rsidRPr="005E5E87">
              <w:rPr>
                <w:b/>
                <w:lang w:val="bg-BG"/>
              </w:rPr>
              <w:t>.</w:t>
            </w:r>
          </w:p>
          <w:p w:rsidR="005C3CDA" w:rsidRDefault="005C3CDA" w:rsidP="00483ED4">
            <w:pPr>
              <w:jc w:val="both"/>
              <w:rPr>
                <w:b/>
                <w:lang w:val="bg-BG"/>
              </w:rPr>
            </w:pPr>
          </w:p>
          <w:p w:rsidR="00CA5CE1" w:rsidRDefault="00CA5CE1" w:rsidP="00483ED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 рамките на интервенцията е допустимо предоставянето на авансова плащане, в размер до 50% от одобрените разходи.</w:t>
            </w:r>
          </w:p>
          <w:p w:rsidR="00AC0175" w:rsidRDefault="00AC0175" w:rsidP="00483ED4">
            <w:pPr>
              <w:jc w:val="both"/>
              <w:rPr>
                <w:lang w:val="bg-BG"/>
              </w:rPr>
            </w:pPr>
          </w:p>
          <w:p w:rsidR="00AC0175" w:rsidRPr="00CC65D7" w:rsidRDefault="00AC0175" w:rsidP="00AC0175">
            <w:pPr>
              <w:jc w:val="both"/>
              <w:rPr>
                <w:b/>
                <w:lang w:val="bg-BG"/>
              </w:rPr>
            </w:pPr>
            <w:r w:rsidRPr="00CC65D7">
              <w:rPr>
                <w:b/>
                <w:lang w:val="bg-BG"/>
              </w:rPr>
              <w:t>С цел приоритетно подпомагане чрез интервенцията за селскостопански дейности определени в анализа като приоритетни ще бъде разработен подход, които да позволи целево насочване на финансирането в рамките на определените финансови условия.</w:t>
            </w:r>
          </w:p>
        </w:tc>
      </w:tr>
    </w:tbl>
    <w:p w:rsidR="005F556B" w:rsidRPr="00341EFA" w:rsidRDefault="005F556B" w:rsidP="005F556B">
      <w:pPr>
        <w:spacing w:line="240" w:lineRule="auto"/>
        <w:jc w:val="both"/>
        <w:rPr>
          <w:b/>
          <w:color w:val="FF0000"/>
          <w:lang w:val="bg-BG"/>
        </w:rPr>
      </w:pPr>
    </w:p>
    <w:sectPr w:rsidR="005F556B" w:rsidRPr="00341EFA" w:rsidSect="00BE7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23" w:rsidRDefault="00130E23" w:rsidP="00C46DC8">
      <w:pPr>
        <w:spacing w:after="0" w:line="240" w:lineRule="auto"/>
      </w:pPr>
      <w:r>
        <w:separator/>
      </w:r>
    </w:p>
  </w:endnote>
  <w:endnote w:type="continuationSeparator" w:id="0">
    <w:p w:rsidR="00130E23" w:rsidRDefault="00130E23" w:rsidP="00C4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C8" w:rsidRDefault="00C46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C8" w:rsidRDefault="00C46D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C8" w:rsidRDefault="00C46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23" w:rsidRDefault="00130E23" w:rsidP="00C46DC8">
      <w:pPr>
        <w:spacing w:after="0" w:line="240" w:lineRule="auto"/>
      </w:pPr>
      <w:r>
        <w:separator/>
      </w:r>
    </w:p>
  </w:footnote>
  <w:footnote w:type="continuationSeparator" w:id="0">
    <w:p w:rsidR="00130E23" w:rsidRDefault="00130E23" w:rsidP="00C4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C8" w:rsidRDefault="00130E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076998" o:spid="_x0000_s2050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C8" w:rsidRDefault="00130E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076999" o:spid="_x0000_s2051" type="#_x0000_t136" style="position:absolute;margin-left:0;margin-top:0;width:424.2pt;height:212.1pt;rotation:315;z-index:-251653120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C8" w:rsidRDefault="00130E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076997" o:spid="_x0000_s2049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A68"/>
    <w:multiLevelType w:val="hybridMultilevel"/>
    <w:tmpl w:val="BAC0E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A70"/>
    <w:multiLevelType w:val="hybridMultilevel"/>
    <w:tmpl w:val="92868F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7CFA"/>
    <w:multiLevelType w:val="hybridMultilevel"/>
    <w:tmpl w:val="B0543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47D93"/>
    <w:multiLevelType w:val="multilevel"/>
    <w:tmpl w:val="E27C4F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B4620F"/>
    <w:multiLevelType w:val="hybridMultilevel"/>
    <w:tmpl w:val="50AC29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F590F"/>
    <w:multiLevelType w:val="hybridMultilevel"/>
    <w:tmpl w:val="C5609E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96A98"/>
    <w:multiLevelType w:val="hybridMultilevel"/>
    <w:tmpl w:val="1FE6FB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F4293"/>
    <w:multiLevelType w:val="hybridMultilevel"/>
    <w:tmpl w:val="FAE6C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30559"/>
    <w:multiLevelType w:val="multilevel"/>
    <w:tmpl w:val="722305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14733"/>
    <w:multiLevelType w:val="hybridMultilevel"/>
    <w:tmpl w:val="56821C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D1D22"/>
    <w:multiLevelType w:val="hybridMultilevel"/>
    <w:tmpl w:val="1362E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60601"/>
    <w:multiLevelType w:val="multilevel"/>
    <w:tmpl w:val="881613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E6"/>
    <w:rsid w:val="00003D1D"/>
    <w:rsid w:val="000118B5"/>
    <w:rsid w:val="00015B35"/>
    <w:rsid w:val="0001742A"/>
    <w:rsid w:val="00021763"/>
    <w:rsid w:val="00027128"/>
    <w:rsid w:val="00036AE2"/>
    <w:rsid w:val="000552BA"/>
    <w:rsid w:val="00061990"/>
    <w:rsid w:val="00072CAF"/>
    <w:rsid w:val="000825A9"/>
    <w:rsid w:val="00083B60"/>
    <w:rsid w:val="0009266A"/>
    <w:rsid w:val="000A2E65"/>
    <w:rsid w:val="000A4AC1"/>
    <w:rsid w:val="000F1A1A"/>
    <w:rsid w:val="001025D7"/>
    <w:rsid w:val="00107028"/>
    <w:rsid w:val="0011493F"/>
    <w:rsid w:val="00130A1B"/>
    <w:rsid w:val="00130E23"/>
    <w:rsid w:val="00166843"/>
    <w:rsid w:val="001759E6"/>
    <w:rsid w:val="00181E3D"/>
    <w:rsid w:val="00181F13"/>
    <w:rsid w:val="00183468"/>
    <w:rsid w:val="0019275A"/>
    <w:rsid w:val="001D1CC0"/>
    <w:rsid w:val="001D2848"/>
    <w:rsid w:val="001D6417"/>
    <w:rsid w:val="001D795D"/>
    <w:rsid w:val="001E1E82"/>
    <w:rsid w:val="00216D60"/>
    <w:rsid w:val="00246316"/>
    <w:rsid w:val="002469CC"/>
    <w:rsid w:val="00252CFE"/>
    <w:rsid w:val="00257342"/>
    <w:rsid w:val="0029257A"/>
    <w:rsid w:val="00295805"/>
    <w:rsid w:val="002D313F"/>
    <w:rsid w:val="002E20AA"/>
    <w:rsid w:val="002E576B"/>
    <w:rsid w:val="00303658"/>
    <w:rsid w:val="00323875"/>
    <w:rsid w:val="00323C4C"/>
    <w:rsid w:val="00341EFA"/>
    <w:rsid w:val="00352CE9"/>
    <w:rsid w:val="003634F6"/>
    <w:rsid w:val="00370445"/>
    <w:rsid w:val="00372EB3"/>
    <w:rsid w:val="00391DBD"/>
    <w:rsid w:val="003A37BA"/>
    <w:rsid w:val="003A64ED"/>
    <w:rsid w:val="003A6CE6"/>
    <w:rsid w:val="003B2B39"/>
    <w:rsid w:val="003B6722"/>
    <w:rsid w:val="003D51F8"/>
    <w:rsid w:val="00413957"/>
    <w:rsid w:val="00440223"/>
    <w:rsid w:val="0046113A"/>
    <w:rsid w:val="00465D61"/>
    <w:rsid w:val="004722E9"/>
    <w:rsid w:val="004735AC"/>
    <w:rsid w:val="00483ED4"/>
    <w:rsid w:val="004A1C67"/>
    <w:rsid w:val="004B5C67"/>
    <w:rsid w:val="004D3CD2"/>
    <w:rsid w:val="004D47EE"/>
    <w:rsid w:val="004D583C"/>
    <w:rsid w:val="004F32B8"/>
    <w:rsid w:val="00502294"/>
    <w:rsid w:val="00503804"/>
    <w:rsid w:val="00551F8B"/>
    <w:rsid w:val="00564BF3"/>
    <w:rsid w:val="00567D49"/>
    <w:rsid w:val="0057728C"/>
    <w:rsid w:val="00592D22"/>
    <w:rsid w:val="005B17FC"/>
    <w:rsid w:val="005C3CDA"/>
    <w:rsid w:val="005D38F5"/>
    <w:rsid w:val="005E111D"/>
    <w:rsid w:val="005E5E87"/>
    <w:rsid w:val="005F556B"/>
    <w:rsid w:val="0060086E"/>
    <w:rsid w:val="00612547"/>
    <w:rsid w:val="00643174"/>
    <w:rsid w:val="006704CF"/>
    <w:rsid w:val="00681B6D"/>
    <w:rsid w:val="00687321"/>
    <w:rsid w:val="00687C24"/>
    <w:rsid w:val="0069192B"/>
    <w:rsid w:val="00691CAF"/>
    <w:rsid w:val="00693CFD"/>
    <w:rsid w:val="0069596B"/>
    <w:rsid w:val="00695D59"/>
    <w:rsid w:val="006D2D77"/>
    <w:rsid w:val="006D3C24"/>
    <w:rsid w:val="006D5696"/>
    <w:rsid w:val="006E005F"/>
    <w:rsid w:val="006E2C6A"/>
    <w:rsid w:val="006E54DC"/>
    <w:rsid w:val="006F5D0F"/>
    <w:rsid w:val="007035C5"/>
    <w:rsid w:val="00715809"/>
    <w:rsid w:val="00735D56"/>
    <w:rsid w:val="007509FC"/>
    <w:rsid w:val="00762B7D"/>
    <w:rsid w:val="00765CD5"/>
    <w:rsid w:val="007664F5"/>
    <w:rsid w:val="00772B90"/>
    <w:rsid w:val="007777EC"/>
    <w:rsid w:val="007A75A3"/>
    <w:rsid w:val="007B2E52"/>
    <w:rsid w:val="007F6563"/>
    <w:rsid w:val="00890974"/>
    <w:rsid w:val="008A7C31"/>
    <w:rsid w:val="008B1A3A"/>
    <w:rsid w:val="008C6273"/>
    <w:rsid w:val="008F05DA"/>
    <w:rsid w:val="009017D6"/>
    <w:rsid w:val="0090477D"/>
    <w:rsid w:val="00907B02"/>
    <w:rsid w:val="0091452D"/>
    <w:rsid w:val="0092257A"/>
    <w:rsid w:val="00922D4C"/>
    <w:rsid w:val="00927421"/>
    <w:rsid w:val="00935872"/>
    <w:rsid w:val="00941407"/>
    <w:rsid w:val="00950149"/>
    <w:rsid w:val="00950EC5"/>
    <w:rsid w:val="00975A3A"/>
    <w:rsid w:val="00994D5D"/>
    <w:rsid w:val="009B2ED1"/>
    <w:rsid w:val="009C5446"/>
    <w:rsid w:val="009E0C85"/>
    <w:rsid w:val="009E4383"/>
    <w:rsid w:val="009E607C"/>
    <w:rsid w:val="009F1441"/>
    <w:rsid w:val="009F37FE"/>
    <w:rsid w:val="009F595C"/>
    <w:rsid w:val="00A20F14"/>
    <w:rsid w:val="00A24C85"/>
    <w:rsid w:val="00A44DE8"/>
    <w:rsid w:val="00A51919"/>
    <w:rsid w:val="00A65563"/>
    <w:rsid w:val="00A7344D"/>
    <w:rsid w:val="00AA069F"/>
    <w:rsid w:val="00AC0175"/>
    <w:rsid w:val="00B04758"/>
    <w:rsid w:val="00B16744"/>
    <w:rsid w:val="00B24F75"/>
    <w:rsid w:val="00B259E0"/>
    <w:rsid w:val="00B358D8"/>
    <w:rsid w:val="00B50282"/>
    <w:rsid w:val="00B62EEC"/>
    <w:rsid w:val="00B631E5"/>
    <w:rsid w:val="00B640A3"/>
    <w:rsid w:val="00B92EB3"/>
    <w:rsid w:val="00BC2D56"/>
    <w:rsid w:val="00BC50F6"/>
    <w:rsid w:val="00BD6438"/>
    <w:rsid w:val="00BE7E72"/>
    <w:rsid w:val="00C27CB0"/>
    <w:rsid w:val="00C46939"/>
    <w:rsid w:val="00C46DC8"/>
    <w:rsid w:val="00C63FFF"/>
    <w:rsid w:val="00CA5A7B"/>
    <w:rsid w:val="00CA5CE1"/>
    <w:rsid w:val="00CC2A84"/>
    <w:rsid w:val="00CC65D7"/>
    <w:rsid w:val="00CE04CA"/>
    <w:rsid w:val="00CE60AE"/>
    <w:rsid w:val="00D143B5"/>
    <w:rsid w:val="00D15C9E"/>
    <w:rsid w:val="00D219E2"/>
    <w:rsid w:val="00D272FA"/>
    <w:rsid w:val="00D5041B"/>
    <w:rsid w:val="00D70C7C"/>
    <w:rsid w:val="00D92818"/>
    <w:rsid w:val="00DA7753"/>
    <w:rsid w:val="00DB128E"/>
    <w:rsid w:val="00DB1959"/>
    <w:rsid w:val="00DB42EB"/>
    <w:rsid w:val="00DC08EE"/>
    <w:rsid w:val="00DC571A"/>
    <w:rsid w:val="00DC710F"/>
    <w:rsid w:val="00DD2EB7"/>
    <w:rsid w:val="00DE6D78"/>
    <w:rsid w:val="00DE7C10"/>
    <w:rsid w:val="00DE7C1B"/>
    <w:rsid w:val="00E1551E"/>
    <w:rsid w:val="00E15F3A"/>
    <w:rsid w:val="00E53C53"/>
    <w:rsid w:val="00E76E03"/>
    <w:rsid w:val="00E869B8"/>
    <w:rsid w:val="00EF0963"/>
    <w:rsid w:val="00EF4733"/>
    <w:rsid w:val="00F12116"/>
    <w:rsid w:val="00F21D3A"/>
    <w:rsid w:val="00F22043"/>
    <w:rsid w:val="00F277F0"/>
    <w:rsid w:val="00F4519A"/>
    <w:rsid w:val="00F538FD"/>
    <w:rsid w:val="00F7170C"/>
    <w:rsid w:val="00F87784"/>
    <w:rsid w:val="00F94A1B"/>
    <w:rsid w:val="00FB5FC5"/>
    <w:rsid w:val="00FD6363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ttre d'introduction,List Paragraph1,1st level - Bullet List Paragraph,Table of contents numbered,Bullet Points,Liste Paragraf,Llista Nivell1,Lista de nivel 1,Paragraphe de liste PBLH,En tête 1,List Paragraph in table,Akapit z listą"/>
    <w:basedOn w:val="Normal"/>
    <w:link w:val="ListParagraphChar"/>
    <w:uiPriority w:val="34"/>
    <w:qFormat/>
    <w:rsid w:val="00BC2D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7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28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3B2B39"/>
  </w:style>
  <w:style w:type="character" w:customStyle="1" w:styleId="ListParagraphChar">
    <w:name w:val="List Paragraph Char"/>
    <w:aliases w:val="Lettre d'introduction Char,List Paragraph1 Char,1st level - Bullet List Paragraph Char,Table of contents numbered Char,Bullet Points Char,Liste Paragraf Char,Llista Nivell1 Char,Lista de nivel 1 Char,Paragraphe de liste PBLH Char"/>
    <w:link w:val="ListParagraph"/>
    <w:uiPriority w:val="34"/>
    <w:qFormat/>
    <w:rsid w:val="009B2ED1"/>
  </w:style>
  <w:style w:type="paragraph" w:styleId="Header">
    <w:name w:val="header"/>
    <w:basedOn w:val="Normal"/>
    <w:link w:val="HeaderChar"/>
    <w:uiPriority w:val="99"/>
    <w:unhideWhenUsed/>
    <w:rsid w:val="00C4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DC8"/>
  </w:style>
  <w:style w:type="paragraph" w:styleId="Footer">
    <w:name w:val="footer"/>
    <w:basedOn w:val="Normal"/>
    <w:link w:val="FooterChar"/>
    <w:uiPriority w:val="99"/>
    <w:unhideWhenUsed/>
    <w:rsid w:val="00C4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ttre d'introduction,List Paragraph1,1st level - Bullet List Paragraph,Table of contents numbered,Bullet Points,Liste Paragraf,Llista Nivell1,Lista de nivel 1,Paragraphe de liste PBLH,En tête 1,List Paragraph in table,Akapit z listą"/>
    <w:basedOn w:val="Normal"/>
    <w:link w:val="ListParagraphChar"/>
    <w:uiPriority w:val="34"/>
    <w:qFormat/>
    <w:rsid w:val="00BC2D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7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28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3B2B39"/>
  </w:style>
  <w:style w:type="character" w:customStyle="1" w:styleId="ListParagraphChar">
    <w:name w:val="List Paragraph Char"/>
    <w:aliases w:val="Lettre d'introduction Char,List Paragraph1 Char,1st level - Bullet List Paragraph Char,Table of contents numbered Char,Bullet Points Char,Liste Paragraf Char,Llista Nivell1 Char,Lista de nivel 1 Char,Paragraphe de liste PBLH Char"/>
    <w:link w:val="ListParagraph"/>
    <w:uiPriority w:val="34"/>
    <w:qFormat/>
    <w:rsid w:val="009B2ED1"/>
  </w:style>
  <w:style w:type="paragraph" w:styleId="Header">
    <w:name w:val="header"/>
    <w:basedOn w:val="Normal"/>
    <w:link w:val="HeaderChar"/>
    <w:uiPriority w:val="99"/>
    <w:unhideWhenUsed/>
    <w:rsid w:val="00C4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DC8"/>
  </w:style>
  <w:style w:type="paragraph" w:styleId="Footer">
    <w:name w:val="footer"/>
    <w:basedOn w:val="Normal"/>
    <w:link w:val="FooterChar"/>
    <w:uiPriority w:val="99"/>
    <w:unhideWhenUsed/>
    <w:rsid w:val="00C4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983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81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406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468F-CB9A-42D6-BC6A-B8293A72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Svetoslav Tsekov</dc:creator>
  <cp:lastModifiedBy>Vladislav E. Tsvetanov</cp:lastModifiedBy>
  <cp:revision>3</cp:revision>
  <cp:lastPrinted>2020-10-20T11:12:00Z</cp:lastPrinted>
  <dcterms:created xsi:type="dcterms:W3CDTF">2020-11-04T16:45:00Z</dcterms:created>
  <dcterms:modified xsi:type="dcterms:W3CDTF">2020-11-04T16:45:00Z</dcterms:modified>
</cp:coreProperties>
</file>