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67" w:rsidRPr="00570B33" w:rsidRDefault="00DE4067" w:rsidP="00570B33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79338C" w:rsidRDefault="0079338C" w:rsidP="00F83D5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3D51" w:rsidRPr="00884F42" w:rsidRDefault="00365789" w:rsidP="00F83D5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84F42">
        <w:rPr>
          <w:rFonts w:ascii="Verdana" w:hAnsi="Verdana"/>
          <w:b/>
          <w:sz w:val="20"/>
          <w:szCs w:val="20"/>
          <w:lang w:val="bg-BG"/>
        </w:rPr>
        <w:t>ДО</w:t>
      </w:r>
    </w:p>
    <w:p w:rsidR="00365789" w:rsidRPr="00884F42" w:rsidRDefault="00365789" w:rsidP="00F83D5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84F42">
        <w:rPr>
          <w:rFonts w:ascii="Verdana" w:hAnsi="Verdana"/>
          <w:b/>
          <w:sz w:val="20"/>
          <w:szCs w:val="20"/>
          <w:lang w:val="bg-BG"/>
        </w:rPr>
        <w:t>МЕДИИ</w:t>
      </w:r>
    </w:p>
    <w:p w:rsidR="00DE4067" w:rsidRPr="00884F42" w:rsidRDefault="00DE4067" w:rsidP="00570B33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79338C" w:rsidRPr="00884F42" w:rsidRDefault="00365789" w:rsidP="00C35579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84F42">
        <w:rPr>
          <w:rFonts w:ascii="Verdana" w:hAnsi="Verdana"/>
          <w:b/>
          <w:sz w:val="20"/>
          <w:szCs w:val="20"/>
          <w:lang w:val="bg-BG"/>
        </w:rPr>
        <w:t>ОТНОСНО: ПЪЛЕН ПРОВАЛ НА МЯРКА 9 "УЧРЕДЯВАНЕ НА ГРУПИ И ОРГАНИЗАЦИИ НА ПРОИЗВОДИТЕЛИ" ОТ ПРОГРАМАТА ЗА РАЗВИТИЕ НА СЕЛСКИТЕ РАЙОНИ ЗА ПЕРИОДА 2014 - 2020 Г.</w:t>
      </w:r>
    </w:p>
    <w:p w:rsidR="00365789" w:rsidRPr="00884F42" w:rsidRDefault="00365789" w:rsidP="0079338C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365789" w:rsidRPr="00884F42" w:rsidRDefault="00365789" w:rsidP="00365789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84F42">
        <w:rPr>
          <w:rFonts w:ascii="Verdana" w:hAnsi="Verdana"/>
          <w:b/>
          <w:sz w:val="20"/>
          <w:szCs w:val="20"/>
          <w:lang w:val="bg-BG"/>
        </w:rPr>
        <w:t>УВАЖАЕМИ ДАМИ И ГОСПОДА</w:t>
      </w:r>
      <w:r w:rsidRPr="00884F42">
        <w:rPr>
          <w:rFonts w:ascii="Verdana" w:hAnsi="Verdana"/>
          <w:b/>
          <w:sz w:val="20"/>
          <w:szCs w:val="20"/>
          <w:lang w:val="bg-BG"/>
        </w:rPr>
        <w:t>,</w:t>
      </w:r>
    </w:p>
    <w:p w:rsidR="00365789" w:rsidRPr="00884F42" w:rsidRDefault="00365789" w:rsidP="0036578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84F42">
        <w:rPr>
          <w:rFonts w:ascii="Verdana" w:hAnsi="Verdana"/>
          <w:sz w:val="20"/>
          <w:szCs w:val="20"/>
          <w:lang w:val="bg-BG"/>
        </w:rPr>
        <w:t>Преди 1 месец с отварянето на мярка 9</w:t>
      </w:r>
      <w:r w:rsidR="00884F42">
        <w:rPr>
          <w:rFonts w:ascii="Verdana" w:hAnsi="Verdana"/>
          <w:sz w:val="20"/>
          <w:szCs w:val="20"/>
          <w:lang w:val="bg-BG"/>
        </w:rPr>
        <w:t xml:space="preserve"> от ПРСР,</w:t>
      </w:r>
      <w:r w:rsidRPr="00884F42">
        <w:rPr>
          <w:rFonts w:ascii="Verdana" w:hAnsi="Verdana"/>
          <w:sz w:val="20"/>
          <w:szCs w:val="20"/>
          <w:lang w:val="bg-BG"/>
        </w:rPr>
        <w:t xml:space="preserve"> Ви информирах, </w:t>
      </w:r>
      <w:r w:rsidR="00F418F9">
        <w:rPr>
          <w:rFonts w:ascii="Verdana" w:hAnsi="Verdana"/>
          <w:sz w:val="20"/>
          <w:szCs w:val="20"/>
          <w:lang w:val="bg-BG"/>
        </w:rPr>
        <w:t>че към момента на стартирането на програмата</w:t>
      </w:r>
      <w:r w:rsidRPr="00884F42">
        <w:rPr>
          <w:rFonts w:ascii="Verdana" w:hAnsi="Verdana"/>
          <w:sz w:val="20"/>
          <w:szCs w:val="20"/>
          <w:lang w:val="bg-BG"/>
        </w:rPr>
        <w:t xml:space="preserve"> са признати около 67 групи и организации на производители от всички сектори, като датата на признаване на повечето от тях е отпреди две години. Следователно първите две години от подпомагането и то с най-високите проценти на субсидиране са загубени. При разпределение на подпомагането в % от оборота по години: първа – 10%; втора – 9,5%; трета – 9%; четвърта 8,5%; пета – 8%, то следва да обобщим че първите две години съставляват 43 % от общия размер на подпомагане. При бюджет на мярката за този прием от 14 793 043 лв., това автоматично означава, че вече са загубени около 6 410 319 лв. Земеделските стопани са лишени от съответното подпомагане и най-вероятно остатъкът от бюджета ще бъде преразпределен и насочен към други мерки.</w:t>
      </w:r>
    </w:p>
    <w:p w:rsidR="00365789" w:rsidRPr="00884F42" w:rsidRDefault="00365789" w:rsidP="00365789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84F42">
        <w:rPr>
          <w:rFonts w:ascii="Verdana" w:hAnsi="Verdana"/>
          <w:b/>
          <w:sz w:val="20"/>
          <w:szCs w:val="20"/>
          <w:lang w:val="bg-BG"/>
        </w:rPr>
        <w:t>За съжаление загубените средства няма да бъдат 43% от бюджета за приема, а се очертава 100% неизпълнение</w:t>
      </w:r>
      <w:r w:rsidR="00F418F9">
        <w:rPr>
          <w:rFonts w:ascii="Verdana" w:hAnsi="Verdana"/>
          <w:b/>
          <w:sz w:val="20"/>
          <w:szCs w:val="20"/>
          <w:lang w:val="bg-BG"/>
        </w:rPr>
        <w:t xml:space="preserve"> и тотален провал</w:t>
      </w:r>
      <w:r w:rsidRPr="00884F42">
        <w:rPr>
          <w:rFonts w:ascii="Verdana" w:hAnsi="Verdana"/>
          <w:b/>
          <w:sz w:val="20"/>
          <w:szCs w:val="20"/>
          <w:lang w:val="bg-BG"/>
        </w:rPr>
        <w:t>, поради следното:</w:t>
      </w:r>
    </w:p>
    <w:p w:rsidR="00365789" w:rsidRDefault="00365789" w:rsidP="00365789">
      <w:pPr>
        <w:spacing w:line="360" w:lineRule="auto"/>
        <w:jc w:val="both"/>
        <w:rPr>
          <w:rFonts w:ascii="Verdana" w:eastAsiaTheme="majorEastAsia" w:hAnsi="Verdana" w:cstheme="majorBidi"/>
          <w:bCs/>
          <w:sz w:val="20"/>
          <w:szCs w:val="20"/>
          <w:lang w:val="bg-BG"/>
        </w:rPr>
      </w:pPr>
      <w:r w:rsidRPr="00884F42">
        <w:rPr>
          <w:rFonts w:ascii="Verdana" w:hAnsi="Verdana"/>
          <w:sz w:val="20"/>
          <w:szCs w:val="20"/>
          <w:lang w:val="bg-BG"/>
        </w:rPr>
        <w:t>В условията за кандидатстване и насоките на управляващия орган,</w:t>
      </w:r>
      <w:r w:rsidR="00884F42">
        <w:rPr>
          <w:rFonts w:ascii="Verdana" w:hAnsi="Verdana"/>
          <w:sz w:val="20"/>
          <w:szCs w:val="20"/>
          <w:lang w:val="bg-BG"/>
        </w:rPr>
        <w:t xml:space="preserve"> публикувани в ИСУН</w:t>
      </w:r>
      <w:r w:rsidRPr="00884F42">
        <w:rPr>
          <w:rFonts w:ascii="Verdana" w:hAnsi="Verdana"/>
          <w:sz w:val="20"/>
          <w:szCs w:val="20"/>
          <w:lang w:val="bg-BG"/>
        </w:rPr>
        <w:t xml:space="preserve"> </w:t>
      </w:r>
      <w:r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</w:t>
      </w:r>
      <w:r w:rsidRPr="00365789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Приложение № 1 към Заповед </w:t>
      </w:r>
      <w:r w:rsidRPr="00365789">
        <w:rPr>
          <w:rFonts w:ascii="Verdana" w:eastAsiaTheme="majorEastAsia" w:hAnsi="Verdana" w:cs="Times New Roman"/>
          <w:bCs/>
          <w:sz w:val="20"/>
          <w:szCs w:val="20"/>
          <w:lang w:val="bg-BG"/>
        </w:rPr>
        <w:t>№</w:t>
      </w:r>
      <w:r w:rsidRPr="00365789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РД09-565 от 15.06.2018 г.</w:t>
      </w:r>
      <w:r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в раздел </w:t>
      </w:r>
      <w:r w:rsidR="00884F42"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>„</w:t>
      </w:r>
      <w:r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>Критерий за допустимост на кандидатите</w:t>
      </w:r>
      <w:r w:rsidR="00884F42"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“ ТОЧКА 3 гласи следното: „За подпомагане могат да кандидатстват групи и организации на производителите, които отговарят на определението </w:t>
      </w:r>
      <w:r w:rsidR="00884F42" w:rsidRPr="00884F42"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  <w:lastRenderedPageBreak/>
        <w:t>„малки и средни предприятия”</w:t>
      </w:r>
      <w:r w:rsidR="00884F42" w:rsidRPr="00884F42">
        <w:rPr>
          <w:rFonts w:ascii="Verdana" w:eastAsiaTheme="majorEastAsia" w:hAnsi="Verdana" w:cstheme="majorBidi"/>
          <w:bCs/>
          <w:sz w:val="20"/>
          <w:szCs w:val="20"/>
          <w:lang w:val="bg-BG"/>
        </w:rPr>
        <w:t>, съгласно изискванията на Закона за малките и средните предприятия (ЗМСП) и са признати до края на 2020 г.“</w:t>
      </w:r>
    </w:p>
    <w:p w:rsidR="00884F42" w:rsidRPr="00F418F9" w:rsidRDefault="00884F42" w:rsidP="00365789">
      <w:pPr>
        <w:spacing w:line="360" w:lineRule="auto"/>
        <w:jc w:val="both"/>
        <w:rPr>
          <w:rFonts w:ascii="Verdana" w:eastAsiaTheme="majorEastAsia" w:hAnsi="Verdana" w:cstheme="majorBidi"/>
          <w:bCs/>
          <w:sz w:val="20"/>
          <w:szCs w:val="20"/>
          <w:lang w:val="bg-BG"/>
        </w:rPr>
      </w:pPr>
      <w:r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Напомням, че дефиницията за </w:t>
      </w:r>
      <w:r w:rsidRPr="00884F42">
        <w:rPr>
          <w:rFonts w:ascii="Verdana" w:eastAsiaTheme="majorEastAsia" w:hAnsi="Verdana" w:cstheme="majorBidi"/>
          <w:bCs/>
          <w:sz w:val="20"/>
          <w:szCs w:val="20"/>
          <w:u w:val="single"/>
          <w:lang w:val="bg-BG"/>
        </w:rPr>
        <w:t>малки и средни предприятия</w:t>
      </w:r>
      <w:r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НЕ ОТГОВАРЯ на определението за групи и организации на производители у нас, тъй като те всъщност са </w:t>
      </w:r>
      <w:r w:rsidRPr="00884F42">
        <w:rPr>
          <w:rFonts w:ascii="Verdana" w:eastAsiaTheme="majorEastAsia" w:hAnsi="Verdana" w:cstheme="majorBidi"/>
          <w:bCs/>
          <w:sz w:val="20"/>
          <w:szCs w:val="20"/>
          <w:u w:val="single"/>
          <w:lang w:val="bg-BG"/>
        </w:rPr>
        <w:t>микропредприятия</w:t>
      </w:r>
      <w:r>
        <w:rPr>
          <w:rFonts w:ascii="Verdana" w:eastAsiaTheme="majorEastAsia" w:hAnsi="Verdana" w:cstheme="majorBidi"/>
          <w:bCs/>
          <w:sz w:val="20"/>
          <w:szCs w:val="20"/>
          <w:lang w:val="bg-BG"/>
        </w:rPr>
        <w:t>.</w:t>
      </w:r>
      <w:r w:rsidR="00D249EF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Коя група или организация на производители има повече от 10 човека, назначен персонал, за да попадне в обхвата на малко предприятие, имайки предвид както и годишния оборот</w:t>
      </w:r>
      <w:r w:rsidR="00F418F9">
        <w:rPr>
          <w:rFonts w:ascii="Verdana" w:eastAsiaTheme="majorEastAsia" w:hAnsi="Verdana" w:cstheme="majorBidi"/>
          <w:bCs/>
          <w:sz w:val="20"/>
          <w:szCs w:val="20"/>
          <w:lang w:val="bg-BG"/>
        </w:rPr>
        <w:t>, така и стойността на активите</w:t>
      </w:r>
      <w:r w:rsidR="00D249EF">
        <w:rPr>
          <w:rFonts w:ascii="Verdana" w:eastAsiaTheme="majorEastAsia" w:hAnsi="Verdana" w:cstheme="majorBidi"/>
          <w:bCs/>
          <w:sz w:val="20"/>
          <w:szCs w:val="20"/>
        </w:rPr>
        <w:t>?</w:t>
      </w:r>
      <w:r w:rsidR="00F418F9">
        <w:rPr>
          <w:rFonts w:ascii="Verdana" w:eastAsiaTheme="majorEastAsia" w:hAnsi="Verdana" w:cstheme="majorBidi"/>
          <w:bCs/>
          <w:sz w:val="20"/>
          <w:szCs w:val="20"/>
          <w:lang w:val="bg-BG"/>
        </w:rPr>
        <w:t xml:space="preserve"> Та нали именно това е целта на мярката – административно укрепване. </w:t>
      </w:r>
      <w:bookmarkStart w:id="0" w:name="_GoBack"/>
      <w:bookmarkEnd w:id="0"/>
    </w:p>
    <w:p w:rsidR="00884F42" w:rsidRDefault="00884F42" w:rsidP="00365789">
      <w:pPr>
        <w:spacing w:line="360" w:lineRule="auto"/>
        <w:jc w:val="both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C35579"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  <w:t>Тъй като микропредприятията са изключени, като допустими бенефициенти по мярката, то 100% от потенциалните ползватели на помощта ще се окажат</w:t>
      </w:r>
      <w:r w:rsidR="00D249EF" w:rsidRPr="00C35579"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  <w:t xml:space="preserve"> „извън борда“.</w:t>
      </w:r>
    </w:p>
    <w:p w:rsidR="006F3EB2" w:rsidRDefault="006F3EB2" w:rsidP="00300CF6">
      <w:pPr>
        <w:spacing w:line="360" w:lineRule="auto"/>
        <w:jc w:val="both"/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</w:pPr>
      <w:r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  <w:t>Във връзка с така създалата се ситуация, апелираме към Министерство на земеделието, храните и горите чрез Вас Медиите за спешно изменение в частта за допустимост на бенефициентите и допускането на микропредприятията по мярка 9 от ПРСР. Имайки предвид, че крайният срок за подаване на проектни предложения е 20.08.2018 год., то настояваме приемът да бъде удължен до 20.09.2018 год.</w:t>
      </w:r>
    </w:p>
    <w:p w:rsidR="00E6346C" w:rsidRPr="006F3EB2" w:rsidRDefault="00300CF6" w:rsidP="00300CF6">
      <w:pPr>
        <w:spacing w:line="360" w:lineRule="auto"/>
        <w:jc w:val="both"/>
        <w:rPr>
          <w:rFonts w:ascii="Verdana" w:eastAsiaTheme="majorEastAsia" w:hAnsi="Verdana" w:cstheme="majorBidi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</w:t>
      </w:r>
      <w:r w:rsidR="00CF61CC" w:rsidRPr="009E4223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</w:t>
      </w:r>
    </w:p>
    <w:p w:rsidR="00DE4067" w:rsidRPr="00570B33" w:rsidRDefault="00BD1708" w:rsidP="00570B33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София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7A1D2F">
        <w:rPr>
          <w:rFonts w:ascii="Verdana" w:hAnsi="Verdana"/>
          <w:sz w:val="20"/>
          <w:szCs w:val="20"/>
          <w:lang w:val="bg-BG"/>
        </w:rPr>
        <w:t>Чавдар Маринов</w:t>
      </w:r>
      <w:r>
        <w:rPr>
          <w:rFonts w:ascii="Verdana" w:hAnsi="Verdana"/>
          <w:sz w:val="20"/>
          <w:szCs w:val="20"/>
          <w:lang w:val="bg-BG"/>
        </w:rPr>
        <w:t xml:space="preserve">: </w:t>
      </w:r>
      <w:r w:rsidRPr="00570B33">
        <w:rPr>
          <w:rFonts w:ascii="Verdana" w:hAnsi="Verdana"/>
          <w:sz w:val="20"/>
          <w:szCs w:val="20"/>
          <w:lang w:val="bg-BG"/>
        </w:rPr>
        <w:t>............................</w:t>
      </w:r>
    </w:p>
    <w:p w:rsidR="00DE4067" w:rsidRPr="00570B33" w:rsidRDefault="00BD1708" w:rsidP="00570B33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</w:t>
      </w:r>
      <w:r w:rsidR="006F3EB2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  <w:lang w:val="bg-BG"/>
        </w:rPr>
        <w:t>.0</w:t>
      </w:r>
      <w:r w:rsidR="006F3EB2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  <w:lang w:val="bg-BG"/>
        </w:rPr>
        <w:t>.2018 год.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6F3EB2">
        <w:rPr>
          <w:rFonts w:ascii="Verdana" w:hAnsi="Verdana"/>
          <w:sz w:val="20"/>
          <w:szCs w:val="20"/>
          <w:lang w:val="bg-BG"/>
        </w:rPr>
        <w:t xml:space="preserve">                         Изпълнителен директор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      </w:t>
      </w:r>
    </w:p>
    <w:p w:rsidR="00DE4067" w:rsidRPr="00570B33" w:rsidRDefault="00DE4067" w:rsidP="00570B33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172653" w:rsidRDefault="00172653">
      <w:pPr>
        <w:rPr>
          <w:lang w:val="bg-BG"/>
        </w:rPr>
      </w:pPr>
    </w:p>
    <w:p w:rsidR="00172653" w:rsidRDefault="00172653">
      <w:pPr>
        <w:rPr>
          <w:lang w:val="bg-BG"/>
        </w:rPr>
      </w:pPr>
    </w:p>
    <w:p w:rsidR="00172653" w:rsidRDefault="00172653">
      <w:pPr>
        <w:rPr>
          <w:lang w:val="bg-BG"/>
        </w:rPr>
      </w:pPr>
    </w:p>
    <w:p w:rsidR="00172653" w:rsidRDefault="00172653">
      <w:pPr>
        <w:rPr>
          <w:lang w:val="bg-BG"/>
        </w:rPr>
      </w:pPr>
    </w:p>
    <w:sectPr w:rsidR="00172653" w:rsidSect="0047203C">
      <w:footerReference w:type="default" r:id="rId9"/>
      <w:headerReference w:type="first" r:id="rId10"/>
      <w:pgSz w:w="12240" w:h="15840"/>
      <w:pgMar w:top="1804" w:right="10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36" w:rsidRDefault="006A0036" w:rsidP="00172653">
      <w:pPr>
        <w:spacing w:after="0" w:line="240" w:lineRule="auto"/>
      </w:pPr>
      <w:r>
        <w:separator/>
      </w:r>
    </w:p>
  </w:endnote>
  <w:endnote w:type="continuationSeparator" w:id="0">
    <w:p w:rsidR="006A0036" w:rsidRDefault="006A0036" w:rsidP="0017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8F9" w:rsidRDefault="00F41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0D9" w:rsidRDefault="00B00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36" w:rsidRDefault="006A0036" w:rsidP="00172653">
      <w:pPr>
        <w:spacing w:after="0" w:line="240" w:lineRule="auto"/>
      </w:pPr>
      <w:r>
        <w:separator/>
      </w:r>
    </w:p>
  </w:footnote>
  <w:footnote w:type="continuationSeparator" w:id="0">
    <w:p w:rsidR="006A0036" w:rsidRDefault="006A0036" w:rsidP="0017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822"/>
      <w:gridCol w:w="9918"/>
    </w:tblGrid>
    <w:tr w:rsidR="00B000D9" w:rsidTr="00557EE0">
      <w:trPr>
        <w:trHeight w:hRule="exact" w:val="1701"/>
      </w:trPr>
      <w:tc>
        <w:tcPr>
          <w:tcW w:w="822" w:type="dxa"/>
          <w:shd w:val="clear" w:color="auto" w:fill="C0504D" w:themeFill="accent2"/>
          <w:vAlign w:val="center"/>
        </w:tcPr>
        <w:p w:rsidR="00B000D9" w:rsidRDefault="00B000D9">
          <w:pPr>
            <w:pStyle w:val="Footer"/>
            <w:jc w:val="center"/>
            <w:rPr>
              <w:color w:val="FFFFFF" w:themeColor="background1"/>
            </w:rPr>
          </w:pPr>
        </w:p>
      </w:tc>
      <w:sdt>
        <w:sdtPr>
          <w:rPr>
            <w:rFonts w:asciiTheme="majorHAnsi" w:eastAsiaTheme="majorEastAsia" w:hAnsiTheme="majorHAnsi" w:cstheme="majorBidi"/>
            <w:sz w:val="24"/>
            <w:szCs w:val="24"/>
            <w:lang w:val="bg-BG"/>
          </w:rPr>
          <w:alias w:val="Title"/>
          <w:id w:val="2328011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918" w:type="dxa"/>
              <w:shd w:val="clear" w:color="auto" w:fill="F2F2F2" w:themeFill="background1" w:themeFillShade="F2"/>
              <w:vAlign w:val="center"/>
            </w:tcPr>
            <w:p w:rsidR="00B000D9" w:rsidRDefault="006028CD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6028CD">
                <w:rPr>
                  <w:rFonts w:asciiTheme="majorHAnsi" w:eastAsiaTheme="majorEastAsia" w:hAnsiTheme="majorHAnsi" w:cstheme="majorBidi"/>
                  <w:sz w:val="24"/>
                  <w:szCs w:val="24"/>
                  <w:lang w:val="bg-BG"/>
                </w:rPr>
                <w:t>БАОППЗ                                                                                                                                                                   БЪЛГАРСКА АСОЦИАЦИЯ НА ОРГАНИЗАЦИИТЕ НА ПРОИЗВОДИТЕЛИ                                                                          НА ПЛОДОВЕ И ЗЕЛЕНЧУЦИ                                                                                                                                             гр. София 1309, бул. „Константин Величков” № 57, вх. Б, етаж 3, ап.11 тел. 02/ 929 25 63, 02/ 929 11 51, e-mail: baopzpall@gmail.com</w:t>
              </w:r>
            </w:p>
          </w:tc>
        </w:sdtContent>
      </w:sdt>
    </w:tr>
  </w:tbl>
  <w:p w:rsidR="00B000D9" w:rsidRDefault="00B00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455"/>
    <w:multiLevelType w:val="hybridMultilevel"/>
    <w:tmpl w:val="FFD645DA"/>
    <w:lvl w:ilvl="0" w:tplc="1C9E53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1793"/>
    <w:multiLevelType w:val="hybridMultilevel"/>
    <w:tmpl w:val="13D2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3186"/>
    <w:multiLevelType w:val="hybridMultilevel"/>
    <w:tmpl w:val="DAFEF7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7EA2"/>
    <w:multiLevelType w:val="hybridMultilevel"/>
    <w:tmpl w:val="30CC8ECC"/>
    <w:lvl w:ilvl="0" w:tplc="A4281BB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3"/>
    <w:rsid w:val="00077519"/>
    <w:rsid w:val="000F7BD7"/>
    <w:rsid w:val="00172653"/>
    <w:rsid w:val="001A4390"/>
    <w:rsid w:val="001C3C50"/>
    <w:rsid w:val="00200C8C"/>
    <w:rsid w:val="00211824"/>
    <w:rsid w:val="00237C5B"/>
    <w:rsid w:val="00262CB8"/>
    <w:rsid w:val="002744BD"/>
    <w:rsid w:val="00300CF6"/>
    <w:rsid w:val="00311AE3"/>
    <w:rsid w:val="0033490B"/>
    <w:rsid w:val="00365789"/>
    <w:rsid w:val="003B6C72"/>
    <w:rsid w:val="0047203C"/>
    <w:rsid w:val="004727E6"/>
    <w:rsid w:val="00477D97"/>
    <w:rsid w:val="004E0987"/>
    <w:rsid w:val="004E1C93"/>
    <w:rsid w:val="00504331"/>
    <w:rsid w:val="005535CC"/>
    <w:rsid w:val="00557EE0"/>
    <w:rsid w:val="00570B33"/>
    <w:rsid w:val="00571FD4"/>
    <w:rsid w:val="00592AAD"/>
    <w:rsid w:val="0059491D"/>
    <w:rsid w:val="006028CD"/>
    <w:rsid w:val="00625BFA"/>
    <w:rsid w:val="0067316A"/>
    <w:rsid w:val="00685476"/>
    <w:rsid w:val="006A0036"/>
    <w:rsid w:val="006D0280"/>
    <w:rsid w:val="006F3EB2"/>
    <w:rsid w:val="007546C9"/>
    <w:rsid w:val="007701F4"/>
    <w:rsid w:val="007812BB"/>
    <w:rsid w:val="007862B7"/>
    <w:rsid w:val="0079338C"/>
    <w:rsid w:val="007A1D2F"/>
    <w:rsid w:val="0081502F"/>
    <w:rsid w:val="00846FAE"/>
    <w:rsid w:val="00876012"/>
    <w:rsid w:val="00884F42"/>
    <w:rsid w:val="008B3129"/>
    <w:rsid w:val="009816E1"/>
    <w:rsid w:val="009E4223"/>
    <w:rsid w:val="00A66E2C"/>
    <w:rsid w:val="00A81798"/>
    <w:rsid w:val="00AD7265"/>
    <w:rsid w:val="00B000D9"/>
    <w:rsid w:val="00B01E83"/>
    <w:rsid w:val="00B05FA2"/>
    <w:rsid w:val="00B63D88"/>
    <w:rsid w:val="00B83C0A"/>
    <w:rsid w:val="00B951A3"/>
    <w:rsid w:val="00BD1708"/>
    <w:rsid w:val="00BD5B56"/>
    <w:rsid w:val="00BE4FCD"/>
    <w:rsid w:val="00C35579"/>
    <w:rsid w:val="00CA3185"/>
    <w:rsid w:val="00CF61CC"/>
    <w:rsid w:val="00D249EF"/>
    <w:rsid w:val="00D87B6F"/>
    <w:rsid w:val="00DB6C26"/>
    <w:rsid w:val="00DC5D32"/>
    <w:rsid w:val="00DE4067"/>
    <w:rsid w:val="00DF4CDB"/>
    <w:rsid w:val="00E10219"/>
    <w:rsid w:val="00E6346C"/>
    <w:rsid w:val="00E6372F"/>
    <w:rsid w:val="00EA48CE"/>
    <w:rsid w:val="00EA4EF0"/>
    <w:rsid w:val="00F418F9"/>
    <w:rsid w:val="00F80115"/>
    <w:rsid w:val="00F83D51"/>
    <w:rsid w:val="00FA3E4C"/>
    <w:rsid w:val="00FB3624"/>
    <w:rsid w:val="00FE6770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53"/>
  </w:style>
  <w:style w:type="paragraph" w:styleId="Footer">
    <w:name w:val="footer"/>
    <w:basedOn w:val="Normal"/>
    <w:link w:val="FooterChar"/>
    <w:uiPriority w:val="99"/>
    <w:unhideWhenUsed/>
    <w:rsid w:val="0017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53"/>
  </w:style>
  <w:style w:type="paragraph" w:styleId="BalloonText">
    <w:name w:val="Balloon Text"/>
    <w:basedOn w:val="Normal"/>
    <w:link w:val="BalloonTextChar"/>
    <w:uiPriority w:val="99"/>
    <w:semiHidden/>
    <w:unhideWhenUsed/>
    <w:rsid w:val="001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3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570B33"/>
  </w:style>
  <w:style w:type="paragraph" w:styleId="ListParagraph">
    <w:name w:val="List Paragraph"/>
    <w:basedOn w:val="Normal"/>
    <w:uiPriority w:val="34"/>
    <w:qFormat/>
    <w:rsid w:val="00EA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53"/>
  </w:style>
  <w:style w:type="paragraph" w:styleId="Footer">
    <w:name w:val="footer"/>
    <w:basedOn w:val="Normal"/>
    <w:link w:val="FooterChar"/>
    <w:uiPriority w:val="99"/>
    <w:unhideWhenUsed/>
    <w:rsid w:val="0017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53"/>
  </w:style>
  <w:style w:type="paragraph" w:styleId="BalloonText">
    <w:name w:val="Balloon Text"/>
    <w:basedOn w:val="Normal"/>
    <w:link w:val="BalloonTextChar"/>
    <w:uiPriority w:val="99"/>
    <w:semiHidden/>
    <w:unhideWhenUsed/>
    <w:rsid w:val="001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3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570B33"/>
  </w:style>
  <w:style w:type="paragraph" w:styleId="ListParagraph">
    <w:name w:val="List Paragraph"/>
    <w:basedOn w:val="Normal"/>
    <w:uiPriority w:val="34"/>
    <w:qFormat/>
    <w:rsid w:val="00EA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8A6A-EBF2-47F3-B95F-C2FD9043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БАОППЗ                                                                                                                                                                   БЪЛГАРСКА АСОЦИАЦИЯ НА ОРГАНИЗАЦИИТЕ НА ПРОИЗВОДИТЕЛИ                                 </vt:lpstr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БАОППЗ                                                                                                                                                                   БЪЛГАРСКА АСОЦИАЦИЯ НА ОРГАНИЗАЦИИТЕ НА ПРОИЗВОДИТЕЛИ                                                                          НА ПЛОДОВЕ И ЗЕЛЕНЧУЦИ                                                                                                                                             гр. София 1309, бул. „Константин Величков” № 57, вх. Б, етаж 3, ап.11 тел. 02/ 929 25 63, 02/ 929 11 51, e-mail: baopzpall@gmail.com</dc:title>
  <dc:creator>johngotti</dc:creator>
  <cp:lastModifiedBy>johngotti</cp:lastModifiedBy>
  <cp:revision>4</cp:revision>
  <cp:lastPrinted>2017-11-21T10:08:00Z</cp:lastPrinted>
  <dcterms:created xsi:type="dcterms:W3CDTF">2018-07-27T06:36:00Z</dcterms:created>
  <dcterms:modified xsi:type="dcterms:W3CDTF">2018-07-27T07:14:00Z</dcterms:modified>
</cp:coreProperties>
</file>