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40" w:rsidRPr="001C3440" w:rsidRDefault="001C3440" w:rsidP="001C3440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br/>
        <w:t>УКАЗ № 72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На основание чл. 98, т. 4 от Конституцията на Република България</w:t>
      </w:r>
    </w:p>
    <w:p w:rsidR="001C3440" w:rsidRPr="001C3440" w:rsidRDefault="001C3440" w:rsidP="001C3440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aps/>
          <w:color w:val="000000"/>
          <w:spacing w:val="38"/>
          <w:sz w:val="17"/>
          <w:szCs w:val="17"/>
          <w:lang w:eastAsia="bg-BG"/>
        </w:rPr>
        <w:t>ПОСТАНОВЯВАМ: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Да се обнародва в „Държавен вестник“ Законът за изменение и допълнение на Закона за собствеността и ползването на земеделските земи, приет от 43-то Народно събрание на 26 януари 2017 г.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  <w:lang w:eastAsia="bg-BG"/>
        </w:rPr>
        <w:t>Издаден в </w:t>
      </w: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София на 2 февруари 2017 г.</w:t>
      </w:r>
    </w:p>
    <w:p w:rsidR="001C3440" w:rsidRPr="001C3440" w:rsidRDefault="001C3440" w:rsidP="001C3440">
      <w:pPr>
        <w:spacing w:after="0" w:line="220" w:lineRule="atLeast"/>
        <w:ind w:firstLine="283"/>
        <w:jc w:val="right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pacing w:val="-5"/>
          <w:sz w:val="17"/>
          <w:szCs w:val="17"/>
          <w:lang w:eastAsia="bg-BG"/>
        </w:rPr>
        <w:t>Президент на Републиката:  </w:t>
      </w:r>
      <w:r w:rsidRPr="001C344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Румен Радев</w:t>
      </w:r>
    </w:p>
    <w:p w:rsidR="001C3440" w:rsidRPr="001C3440" w:rsidRDefault="001C3440" w:rsidP="001C3440">
      <w:pPr>
        <w:spacing w:after="0" w:line="185" w:lineRule="atLeast"/>
        <w:ind w:firstLine="283"/>
        <w:jc w:val="right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Подпечатан с държавния печат.</w:t>
      </w:r>
    </w:p>
    <w:p w:rsidR="001C3440" w:rsidRPr="001C3440" w:rsidRDefault="001C3440" w:rsidP="001C3440">
      <w:pPr>
        <w:spacing w:after="0" w:line="185" w:lineRule="atLeast"/>
        <w:ind w:firstLine="283"/>
        <w:jc w:val="right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Министър на правосъдието: </w:t>
      </w:r>
      <w:r w:rsidRPr="001C344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Мария Павлова</w:t>
      </w:r>
    </w:p>
    <w:p w:rsidR="001C3440" w:rsidRPr="001C3440" w:rsidRDefault="001C3440" w:rsidP="001C3440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ЗАКОН</w:t>
      </w:r>
    </w:p>
    <w:p w:rsidR="001C3440" w:rsidRPr="001C3440" w:rsidRDefault="001C3440" w:rsidP="001C3440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  <w:lang w:eastAsia="bg-BG"/>
        </w:rPr>
        <w:t>за изменение и допълнение на Закона за собствеността и ползването на земеделските земи  </w:t>
      </w:r>
      <w:r w:rsidRPr="001C3440"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  <w:lang w:eastAsia="bg-BG"/>
        </w:rPr>
        <w:t>(</w:t>
      </w:r>
      <w:proofErr w:type="spellStart"/>
      <w:r w:rsidRPr="001C3440"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  <w:lang w:eastAsia="bg-BG"/>
        </w:rPr>
        <w:t>обн</w:t>
      </w:r>
      <w:proofErr w:type="spellEnd"/>
      <w:r w:rsidRPr="001C3440">
        <w:rPr>
          <w:rFonts w:ascii="Times New Roman" w:eastAsia="Times New Roman" w:hAnsi="Times New Roman" w:cs="Times New Roman"/>
          <w:color w:val="000000"/>
          <w:spacing w:val="-1"/>
          <w:sz w:val="17"/>
          <w:szCs w:val="17"/>
          <w:lang w:eastAsia="bg-BG"/>
        </w:rPr>
        <w:t>., ДВ, бр. 17 от 1991 г.; попр., бр. 20 от 1991 г.; изм., бр. 74 от 1991 г., бр. 18, 28, 46 и 105 от 1992 г., бр. 48 от 1993 г.; Решение № 12 на Конституционния съд от 1993 г. – бр. 64 от 1993 г.; изм., бр. 83 от 1993 г., бр. 80 от 1994 г., бр. 45 и 57 от 1995 г.; решения № 7 и № 8 на Конституционния съд от 1995 г. – бр. 59 от 1995 г.; изм., бр. 79 от 1996 г.; Решение № 20 на Конституционния съд от 1996 г. – бр. 103 от 1996 г.; изм., бр. 104 от 1996 г.; Решение № 3 на Конституционния съд от 1997 г. – бр. 15 от 1997 г.; изм., бр. 62, 87, 98, 123 и 124 от 1997 г., бр. 36, 59, 88 и 133 от 1998 г., бр. 68 от 1999 г., бр. 34 и 106 от 2000 г., бр. 28, 47 и 99 от 2002 г., бр. 16 от 2003 г., бр. 36 и 38 от 2004 г., бр. 87 от 2005 г., бр. 17 и 30 от 2006 г., бр. 13, 24 и 59 от 2007 г., бр. 36 и 43 от 2008 г., бр. 6, 10, 19, 44, 94 и 99 от 2009 г., бр. 62 от 2010 г., бр. 8 и 39 от 2011 г., бр. 25 и 44 от 2012 г., бр. 15, 16 и 66 от 2013 г., бр. 38, 49 и 98 от 2014 г., бр. 12, 14, 31, 61 и 100 от 2015 г. и бр. 61 от 2016 г.)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1. </w:t>
      </w: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В чл. 37в, ал. 2, изречение шесто думите „ливади и трайни насаждения“ се заменят с „и ливади“.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2.</w:t>
      </w: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Създава се нов чл. 37ж: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  <w:lang w:eastAsia="bg-BG"/>
        </w:rPr>
        <w:t>„Чл. 37ж. (1) Масиви за ползване на пасища, мери и ливади може да се създават по споразумение 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БАБХ. Споразумението се одобрява ежегодно до 30 декември за следващата календарна година.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(2) Лицата по ал. 1, които отговарят на условията по чл. 37и, ал. 4, може до 31 октомври да подадат в общинската служба по земеделие по местонахождение на пасищата, мерите и ливадите заявление по образец, утвърден от министъра на земеделието и храните, за участие в споразумение. Заявлението се подава лично или чрез пълномощник и при възможност се представя и на оптичен носител.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(3) В заявлението се посочват имотите, ползвани по договори, регистрирани в общинската служба по земеделие и/или документи за собственост, с които лицето по ал. 1 желае да участва в споразумението. Към заявлението лицата прилагат декларация, че нямат задължения по ал. 12, чл. 34, ал. 6 и чл. 37в, ал. 7, както и задължения към държавния и общинския поземлен фонд и не са свързани лица по смисъла на Търговския закон с лица, които имат такива задължения.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(4) Изготвянето на споразумението се ръководи от комисия за всяко землище, за което има подадени заявления по ал. 2 и декларации по чл. 37б, ал. 1. Директорът на съответната областна дирекция „Земеделие“ до 5 ноември назначава комисия, чийто състав се определя по реда на чл. 37в, ал. 1.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(5) Площта на имоти с начин на трайно ползване пасища, мери и ливади, за които няма сключени договори и не са подадени декларации по чл. 37б, ал. 1, с изключение на имотите от държавния и общинския поземлен фонд, се разпределя със споразумението между лицата по ал. 1.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(6) Споразумението се изготвя до 10 декември по образец, утвърден от министъра на земеделието и храните, като чл. 37в, ал. 2, изречения първо, второ и трето се прилагат съответно.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(7) За изготвянето на споразумението комисията по ал. 4 до 10 ноември предоставя на лицата по ал. 1: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1. данни за регистрираните в общинската служба по земеделие договори за ползване и/или документи за собственост на пасища, мери и ливади, заявени или декларирани за: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а) ползване в реалните им граници;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б) участие в споразумение;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2. актуална справка по ал. 9;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3. данни за задължения по ал. 12, чл. 34, ал. 6 и чл. 37в, ал. 7;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4. размера на средното годишно </w:t>
      </w:r>
      <w:proofErr w:type="spellStart"/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рентно</w:t>
      </w:r>
      <w:proofErr w:type="spellEnd"/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плащане за землището.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(8) Лице по ал. 1, на което е разпределена площ, по-голяма от определената в чл. 37и, ал. 4, прилага към споразумението декларация за имотите, които ще заяви за подпомагане по реда на Закона за подпомагане на земеделските производители. Декларацията е по образец, утвърден от министъра на земеделието и храните.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(9) Комисията извършва проверка дали лицата по ал. 1 отговарят на условията по чл. 37и, ал. 4 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БАБХ: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1. животновъдни обекти;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2. собственици или ползватели на регистрирани животновъдни обекти;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3. пасищни селскостопански животни в животновъдните обекти.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(10) Комисията до 20 декември изготвя доклад до директора на съответната областна дирекция „Земеделие“, който съдържа данни за площите по ал. 5, техните собственици, дължимото </w:t>
      </w:r>
      <w:proofErr w:type="spellStart"/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рентно</w:t>
      </w:r>
      <w:proofErr w:type="spellEnd"/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плащане, площите по ал. 7, т. 1, както и данни дали са налице условията по чл. 37и, ал. 4. Към доклада се прилагат споразумението и декларациите по ал. 8.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(11) Въз основа на доклада по ал. 10 директорът на съответната областна дирекция „Земеделие“ до 30 декември издава заповед по образец, утвърден от министъра на земеделието и храните, за одобряване на споразумението и разпределението на масивите за ползване. Заповедта се обявява незабавно, като чл. 37в, ал. 5 и 6 се прилагат съответно.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(12) Лице по ал. 1, на което със заповедта по ал. 11 са определени площи по ал. 5, внася по сметка за чужди средства на съответната областна дирекция „Земеделие“ сума в размер на средното годишно </w:t>
      </w:r>
      <w:proofErr w:type="spellStart"/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рентно</w:t>
      </w:r>
      <w:proofErr w:type="spellEnd"/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плащане за землището в едномесечен срок от публикуване на заповедта, като чл. 37в, ал. 7 се прилага съответно.“</w:t>
      </w:r>
    </w:p>
    <w:p w:rsidR="001C3440" w:rsidRPr="001C3440" w:rsidRDefault="001C3440" w:rsidP="001C3440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Преходни и заключителни разпоредби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3.</w:t>
      </w: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 За споразуменията за ползване на пасища, мери и ливади за календарната 2017 г. сроковете по чл. 37ж се удължават с 4 месеца.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lastRenderedPageBreak/>
        <w:t>§ 4. </w:t>
      </w: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За стопанската 2016 – 2017 г. може да се създават масиви за ползване на трайни насаждения при условията и по реда на чл. 37б и 37в, като се прилагат следните срокове: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1. за подаване на декларация по чл. 37б, ал. 1 и заявление по чл. 37б, ал. 3 – до 20 фев</w:t>
      </w: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softHyphen/>
        <w:t>руари 2017 г.;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2. за определяне на комисия по чл. 37в, ал. 1 – до 5 март 2017 г.;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pacing w:val="1"/>
          <w:sz w:val="17"/>
          <w:szCs w:val="17"/>
          <w:lang w:eastAsia="bg-BG"/>
        </w:rPr>
        <w:t>3. за сключване на споразумение по чл. 37в, ал. 2 и разпределение на ползването на земите по масиви по чл. 37в, ал. 3, т. 2 – до 30 март 2017 г.;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4. за изготвяне на доклад и издаване на заповед за разпределение на масивите в землището по чл. 37в, ал. 4 – до 5 април 2017 г.;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5. за обявяване на заповедта по чл. 37в, ал. 5 – до 10 април 2017 г.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5. </w:t>
      </w: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В Закона за подпомагане на земеделските производители (</w:t>
      </w:r>
      <w:proofErr w:type="spellStart"/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обн</w:t>
      </w:r>
      <w:proofErr w:type="spellEnd"/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., ДВ, бр. 58 от 1998 г.; изм., бр. 79 и 153 от 1998 г., бр. 12, 26, 86 и 113 от 1999 г., бр. 24 от 2000 г., бр. 34 и 41 от 2001 г., бр. 46 и 96 от 2002 г., бр. 18 от 2004 г., бр. 14 и 105 от 2005 г., бр. 18, 30, 34, 59, 80, 96 и 108 от 2006 г., бр. 13, 53 и 59 от 2007 г., бр. 16, 36, 43 и 100 от 2008 г., бр. 12, 32, 82 и 85 от 2009 г., бр. 59 от 2010 г., бр. 8 от 2011 г., бр. 38 от 2012 г., бр. 15, 66, 101 и 109 от 2013 г., бр. 40 и 98 от 2014 г., бр. 12, 61 и 95 от 2015 г. и бр. 45, 58 и 61 от 2016 г.) в чл. 41 се правят следните изменения и допълнения: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1. В ал. 1, т. 5 думите „и чл. 37в, ал. 4 или 10“ се заменят с „чл. 37в, ал. 4 или 10 и чл. 37ж, ал. 11“.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2. В ал. 2, т. 4 след думите „или 12“ се добавя „и чл. 37ж, ал. 11“.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3. В ал. 4 думите „37в, ал. 7“ се заменят с „чл. 37в, ал. 7 и чл. 37ж, ал. 12“.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6. </w:t>
      </w: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В Закона за арендата в земеделието (</w:t>
      </w:r>
      <w:proofErr w:type="spellStart"/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обн</w:t>
      </w:r>
      <w:proofErr w:type="spellEnd"/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., ДВ, бр. 82 от 1996 г.; изм., бр. 35 и 113 от 1999 г., бр. 99 от 2002 г., бр. 13 от 2007 г., бр. 36 и 43 от 2008 г., бр. 14 от 2015 г. и бр. 61 от 2016 г.) в чл. 3 се правят следните изменения: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1. В ал. 1 изречение трето се заличава.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2. Алинея 4 се изменя така: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„(4) Договор за аренда може да се сключи със съсобственик на земеделска земя, чиято собственост е повече от 50 на сто идеални части от </w:t>
      </w:r>
      <w:proofErr w:type="spellStart"/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съсобствен</w:t>
      </w:r>
      <w:proofErr w:type="spellEnd"/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имот или със съсобственик, упълномощен от съсобственици, притежаващи общо с него повече от 50 на сто идеални части от </w:t>
      </w:r>
      <w:proofErr w:type="spellStart"/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съсобствения</w:t>
      </w:r>
      <w:proofErr w:type="spellEnd"/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имот. Пълномощното трябва да бъде с нотариална заверка на подписите и съдържанието. В тези случаи отношенията между съсобствениците се уреждат съгласно чл. 30, ал. 3 от Закона за собствеността.“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3. Алинея 5 се отменя.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b/>
          <w:bCs/>
          <w:color w:val="000000"/>
          <w:spacing w:val="2"/>
          <w:sz w:val="17"/>
          <w:szCs w:val="17"/>
          <w:lang w:eastAsia="bg-BG"/>
        </w:rPr>
        <w:t>§ 7. </w:t>
      </w:r>
      <w:r w:rsidRPr="001C3440"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  <w:lang w:eastAsia="bg-BG"/>
        </w:rPr>
        <w:t>Когато договор за аренда е сключен по Закона за арендата в земеделието до влизането в сила на този закон само от някои от съсобствениците на земеделската земя, отношенията между тях се уреждат съгласно чл. 30, ал. 3 от Закона за собствеността. Този договор не може да се противопостави на арендатор по договор за аренда, сключен със съсобственик на същия имот, който е бил вписан по-рано в службата по вписванията.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8. </w:t>
      </w: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Законът влиза в сила от деня на обнародването му в „Държавен вестник“.</w:t>
      </w:r>
    </w:p>
    <w:p w:rsidR="001C3440" w:rsidRPr="001C3440" w:rsidRDefault="001C3440" w:rsidP="001C344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Законът е приет от 43-то Народно събрание на 26 януари 2017 г. и е подпечатан с официалния печат на Народното събрание.</w:t>
      </w:r>
    </w:p>
    <w:p w:rsidR="001C3440" w:rsidRPr="001C3440" w:rsidRDefault="001C3440" w:rsidP="001C3440">
      <w:pPr>
        <w:spacing w:after="0" w:line="220" w:lineRule="atLeast"/>
        <w:jc w:val="right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Председател на Народното събрание:  </w:t>
      </w:r>
      <w:r w:rsidRPr="001C344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Цецка Цачева</w:t>
      </w:r>
    </w:p>
    <w:p w:rsidR="001C3440" w:rsidRPr="001C3440" w:rsidRDefault="001C3440" w:rsidP="001C3440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1C3440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777</w:t>
      </w:r>
    </w:p>
    <w:p w:rsidR="00B5292F" w:rsidRDefault="00B5292F">
      <w:bookmarkStart w:id="0" w:name="_GoBack"/>
      <w:bookmarkEnd w:id="0"/>
    </w:p>
    <w:sectPr w:rsidR="00B5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40"/>
    <w:rsid w:val="001C3440"/>
    <w:rsid w:val="00B5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251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010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2246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5005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736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529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5145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48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5467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828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70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496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2017-02-07T08:10:00Z</dcterms:created>
  <dcterms:modified xsi:type="dcterms:W3CDTF">2017-02-07T08:17:00Z</dcterms:modified>
</cp:coreProperties>
</file>